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6ADE" w14:textId="74A60326" w:rsidR="009519FB" w:rsidRPr="00D23EEE" w:rsidRDefault="009519FB" w:rsidP="00B042E7">
      <w:pPr>
        <w:spacing w:after="0"/>
        <w:rPr>
          <w:rFonts w:cstheme="minorHAnsi"/>
          <w:caps/>
          <w:u w:val="single"/>
        </w:rPr>
      </w:pPr>
      <w:r w:rsidRPr="00D23EEE">
        <w:rPr>
          <w:rFonts w:cstheme="minorHAnsi"/>
          <w:b/>
          <w:bCs/>
          <w:smallCaps/>
          <w:color w:val="000000"/>
          <w:u w:val="single"/>
        </w:rPr>
        <w:t>Purpose and background</w:t>
      </w:r>
      <w:r w:rsidR="00384944" w:rsidRPr="00D23EEE">
        <w:rPr>
          <w:rFonts w:cstheme="minorHAnsi"/>
          <w:smallCaps/>
          <w:u w:val="single"/>
        </w:rPr>
        <w:t xml:space="preserve"> </w:t>
      </w:r>
    </w:p>
    <w:p w14:paraId="2EDE4F86" w14:textId="33610C5F" w:rsidR="00384944" w:rsidRPr="00D23EEE" w:rsidRDefault="00C16141" w:rsidP="3B769B9C">
      <w:pPr>
        <w:spacing w:after="0"/>
      </w:pPr>
      <w:r>
        <w:t xml:space="preserve">Sponsored project </w:t>
      </w:r>
      <w:r w:rsidR="00384944">
        <w:t xml:space="preserve">funds can be used to pay a portion of </w:t>
      </w:r>
      <w:r w:rsidR="22BDC318">
        <w:t>a</w:t>
      </w:r>
      <w:r w:rsidR="00384944">
        <w:t xml:space="preserve"> </w:t>
      </w:r>
      <w:r w:rsidR="008D172F">
        <w:t>faculty member’s</w:t>
      </w:r>
      <w:r w:rsidR="00384944">
        <w:t xml:space="preserve"> 1.0 FTE during the contractual period (i.e., the 9-month academic year for most tenure track</w:t>
      </w:r>
      <w:r w:rsidR="00E50323">
        <w:t>/tenured</w:t>
      </w:r>
      <w:r w:rsidR="00384944">
        <w:t xml:space="preserve"> faculty</w:t>
      </w:r>
      <w:r w:rsidR="00AC1D04">
        <w:t>; 12-month for some faculty</w:t>
      </w:r>
      <w:r w:rsidR="00384944">
        <w:t>)</w:t>
      </w:r>
      <w:r w:rsidR="56ADCEC9">
        <w:t>,</w:t>
      </w:r>
      <w:r w:rsidR="00384944">
        <w:t xml:space="preserve"> and any portion of a faculty member's </w:t>
      </w:r>
      <w:r w:rsidR="00B042E7">
        <w:t>time</w:t>
      </w:r>
      <w:r w:rsidR="00384944">
        <w:t xml:space="preserve"> during the non-contractual period (i.e., summer months).   The rate for</w:t>
      </w:r>
      <w:r>
        <w:t xml:space="preserve"> a sponsored project</w:t>
      </w:r>
      <w:r w:rsidR="00384944">
        <w:t xml:space="preserve"> funded FTE 'buyout' will not exceed the institutional base salary (IBS) for that respective faculty member.   </w:t>
      </w:r>
    </w:p>
    <w:p w14:paraId="2EDE4F87" w14:textId="77777777" w:rsidR="00B042E7" w:rsidRPr="00D23EEE" w:rsidRDefault="00B042E7" w:rsidP="00B042E7">
      <w:pPr>
        <w:spacing w:after="0"/>
        <w:rPr>
          <w:rFonts w:cstheme="minorHAnsi"/>
        </w:rPr>
      </w:pPr>
    </w:p>
    <w:p w14:paraId="2EDE4F88" w14:textId="676F58F5" w:rsidR="00384944" w:rsidRPr="00D23EEE" w:rsidRDefault="00384944" w:rsidP="111AA247">
      <w:pPr>
        <w:ind w:left="720"/>
        <w:rPr>
          <w:i/>
          <w:iCs/>
          <w:color w:val="111111"/>
          <w:lang w:val="en"/>
        </w:rPr>
      </w:pPr>
      <w:r w:rsidRPr="111AA247">
        <w:rPr>
          <w:rStyle w:val="Emphasis"/>
          <w:color w:val="333333"/>
          <w:u w:val="single"/>
        </w:rPr>
        <w:t>Institutional Base Salary (IBS):</w:t>
      </w:r>
      <w:r w:rsidRPr="111AA247">
        <w:rPr>
          <w:rStyle w:val="Emphasis"/>
          <w:i w:val="0"/>
          <w:iCs w:val="0"/>
          <w:color w:val="333333"/>
        </w:rPr>
        <w:t xml:space="preserve"> </w:t>
      </w:r>
      <w:r w:rsidRPr="111AA247">
        <w:rPr>
          <w:i/>
          <w:iCs/>
          <w:color w:val="111111"/>
          <w:lang w:val="en"/>
        </w:rPr>
        <w:t xml:space="preserve">is annual compensation for an individual’s </w:t>
      </w:r>
      <w:r w:rsidR="00E50323" w:rsidRPr="111AA247">
        <w:rPr>
          <w:i/>
          <w:iCs/>
          <w:color w:val="111111"/>
          <w:lang w:val="en"/>
        </w:rPr>
        <w:t xml:space="preserve">contractual </w:t>
      </w:r>
      <w:r w:rsidRPr="111AA247">
        <w:rPr>
          <w:i/>
          <w:iCs/>
          <w:color w:val="111111"/>
          <w:lang w:val="en"/>
        </w:rPr>
        <w:t>appointment (</w:t>
      </w:r>
      <w:r w:rsidR="00E50323" w:rsidRPr="111AA247">
        <w:rPr>
          <w:i/>
          <w:iCs/>
          <w:color w:val="111111"/>
          <w:lang w:val="en"/>
        </w:rPr>
        <w:t xml:space="preserve">i.e., </w:t>
      </w:r>
      <w:r w:rsidRPr="111AA247">
        <w:rPr>
          <w:i/>
          <w:iCs/>
          <w:color w:val="111111"/>
          <w:lang w:val="en"/>
        </w:rPr>
        <w:t>9, 10, 11</w:t>
      </w:r>
      <w:r w:rsidR="2C13C53C" w:rsidRPr="111AA247">
        <w:rPr>
          <w:i/>
          <w:iCs/>
          <w:color w:val="111111"/>
          <w:lang w:val="en"/>
        </w:rPr>
        <w:t>,</w:t>
      </w:r>
      <w:r w:rsidRPr="111AA247">
        <w:rPr>
          <w:i/>
          <w:iCs/>
          <w:color w:val="111111"/>
          <w:lang w:val="en"/>
        </w:rPr>
        <w:t xml:space="preserve"> or 12 months) and covers individual time spent on research, teaching, administration</w:t>
      </w:r>
      <w:r w:rsidR="76E97A0D" w:rsidRPr="111AA247">
        <w:rPr>
          <w:i/>
          <w:iCs/>
          <w:color w:val="111111"/>
          <w:lang w:val="en"/>
        </w:rPr>
        <w:t>,</w:t>
      </w:r>
      <w:r w:rsidRPr="111AA247">
        <w:rPr>
          <w:i/>
          <w:iCs/>
          <w:color w:val="111111"/>
          <w:lang w:val="en"/>
        </w:rPr>
        <w:t xml:space="preserve"> or other activities. </w:t>
      </w:r>
      <w:r w:rsidR="57A1002F" w:rsidRPr="111AA247">
        <w:rPr>
          <w:i/>
          <w:iCs/>
          <w:color w:val="111111"/>
          <w:lang w:val="en"/>
        </w:rPr>
        <w:t xml:space="preserve">Institutional Base Salary </w:t>
      </w:r>
      <w:r w:rsidRPr="111AA247">
        <w:rPr>
          <w:i/>
          <w:iCs/>
          <w:color w:val="111111"/>
          <w:lang w:val="en"/>
        </w:rPr>
        <w:t>does not include bonuses, one-time payments, or incentive pay.  Additionally, IBS does not include payments from other organizations or income that</w:t>
      </w:r>
      <w:r w:rsidR="009519FB" w:rsidRPr="111AA247">
        <w:rPr>
          <w:i/>
          <w:iCs/>
          <w:color w:val="111111"/>
          <w:lang w:val="en"/>
        </w:rPr>
        <w:t xml:space="preserve"> </w:t>
      </w:r>
      <w:r w:rsidRPr="111AA247">
        <w:rPr>
          <w:i/>
          <w:iCs/>
          <w:color w:val="111111"/>
          <w:lang w:val="en"/>
        </w:rPr>
        <w:t xml:space="preserve">individuals are permitted to earn outside of their </w:t>
      </w:r>
      <w:proofErr w:type="gramStart"/>
      <w:r w:rsidRPr="111AA247">
        <w:rPr>
          <w:i/>
          <w:iCs/>
          <w:color w:val="111111"/>
          <w:lang w:val="en"/>
        </w:rPr>
        <w:t>University</w:t>
      </w:r>
      <w:proofErr w:type="gramEnd"/>
      <w:r w:rsidRPr="111AA247">
        <w:rPr>
          <w:i/>
          <w:iCs/>
          <w:color w:val="111111"/>
          <w:lang w:val="en"/>
        </w:rPr>
        <w:t xml:space="preserve"> responsibilities, such as consulting.  </w:t>
      </w:r>
    </w:p>
    <w:p w14:paraId="3C800CB7" w14:textId="0703DF31" w:rsidR="00AC1D04" w:rsidRPr="00D23EEE" w:rsidRDefault="00AC1D04" w:rsidP="5FED6CAB">
      <w:pPr>
        <w:rPr>
          <w:rFonts w:eastAsia="Calibri"/>
        </w:rPr>
      </w:pPr>
      <w:proofErr w:type="gramStart"/>
      <w:r w:rsidRPr="5FED6CAB">
        <w:rPr>
          <w:rFonts w:eastAsia="Calibri"/>
        </w:rPr>
        <w:t xml:space="preserve">For </w:t>
      </w:r>
      <w:r w:rsidR="1EB7BEBE" w:rsidRPr="5FED6CAB">
        <w:rPr>
          <w:rFonts w:eastAsia="Calibri"/>
        </w:rPr>
        <w:t xml:space="preserve">the </w:t>
      </w:r>
      <w:r w:rsidRPr="5FED6CAB">
        <w:rPr>
          <w:rFonts w:eastAsia="Calibri"/>
        </w:rPr>
        <w:t>purpose of</w:t>
      </w:r>
      <w:proofErr w:type="gramEnd"/>
      <w:r w:rsidRPr="5FED6CAB">
        <w:rPr>
          <w:rFonts w:eastAsia="Calibri"/>
        </w:rPr>
        <w:t xml:space="preserve"> </w:t>
      </w:r>
      <w:r w:rsidR="00C16141" w:rsidRPr="5FED6CAB">
        <w:rPr>
          <w:rFonts w:eastAsia="Calibri"/>
        </w:rPr>
        <w:t xml:space="preserve">sponsored project </w:t>
      </w:r>
      <w:r w:rsidRPr="5FED6CAB">
        <w:rPr>
          <w:rFonts w:eastAsia="Calibri"/>
        </w:rPr>
        <w:t xml:space="preserve">budgeting, all departments and units at Sam Houston State University will define </w:t>
      </w:r>
      <w:r w:rsidRPr="5FED6CAB">
        <w:rPr>
          <w:rFonts w:eastAsia="Calibri"/>
          <w:u w:val="single"/>
        </w:rPr>
        <w:t>institutional base salar</w:t>
      </w:r>
      <w:r w:rsidR="1875D71A" w:rsidRPr="5FED6CAB">
        <w:rPr>
          <w:rFonts w:eastAsia="Calibri"/>
          <w:u w:val="single"/>
        </w:rPr>
        <w:t>y</w:t>
      </w:r>
      <w:r w:rsidRPr="5FED6CAB">
        <w:rPr>
          <w:rFonts w:eastAsia="Calibri"/>
        </w:rPr>
        <w:t xml:space="preserve"> as the applicant(s) normative 9-month salary or 12-month salary plus any recurring administrative stipends (e.g., Chair Stipend) that renews on an annual basis for the duration of that administrative appointment.   Although administrative stipends typically carry a 0.0 FTE in the university electronic payroll system, the university acknowledges that time and effort are associated with such stipends, and the time and effort may vary across university units.  Thus, any workload budgeted on </w:t>
      </w:r>
      <w:r w:rsidR="002F0955" w:rsidRPr="5FED6CAB">
        <w:rPr>
          <w:rFonts w:eastAsia="Calibri"/>
        </w:rPr>
        <w:t xml:space="preserve">sponsored project </w:t>
      </w:r>
      <w:r w:rsidRPr="5FED6CAB">
        <w:rPr>
          <w:rFonts w:eastAsia="Calibri"/>
        </w:rPr>
        <w:t>funds must relate to a proportionate reduction budgeted workload on university funds, and it is the department's responsibility to demonstrate the proportionate reduction in university workload should this be requested by the Controller's Office, the Office of Research Administration</w:t>
      </w:r>
      <w:r w:rsidR="00FD6B59" w:rsidRPr="5FED6CAB">
        <w:rPr>
          <w:rFonts w:eastAsia="Calibri"/>
        </w:rPr>
        <w:t xml:space="preserve"> (ORA)</w:t>
      </w:r>
      <w:r w:rsidR="00556708" w:rsidRPr="5FED6CAB">
        <w:rPr>
          <w:rFonts w:eastAsia="Calibri"/>
        </w:rPr>
        <w:t>,</w:t>
      </w:r>
      <w:r w:rsidRPr="5FED6CAB">
        <w:rPr>
          <w:rFonts w:eastAsia="Calibri"/>
        </w:rPr>
        <w:t xml:space="preserve"> or the Office of Research and Sponsored Programs</w:t>
      </w:r>
      <w:r w:rsidR="00FD6B59" w:rsidRPr="5FED6CAB">
        <w:rPr>
          <w:rFonts w:eastAsia="Calibri"/>
        </w:rPr>
        <w:t xml:space="preserve"> (ORSP)</w:t>
      </w:r>
      <w:r w:rsidRPr="5FED6CAB">
        <w:rPr>
          <w:rFonts w:eastAsia="Calibri"/>
        </w:rPr>
        <w:t xml:space="preserve">.   </w:t>
      </w:r>
    </w:p>
    <w:p w14:paraId="2EDE4F89" w14:textId="00C91C2C" w:rsidR="005E1959" w:rsidRPr="00D23EEE" w:rsidRDefault="00162E49" w:rsidP="111AA247">
      <w:pPr>
        <w:rPr>
          <w:color w:val="111111"/>
          <w:lang w:val="en"/>
        </w:rPr>
      </w:pPr>
      <w:r w:rsidRPr="111AA247">
        <w:rPr>
          <w:color w:val="111111"/>
          <w:lang w:val="en"/>
        </w:rPr>
        <w:t xml:space="preserve">Faculty time and effort dedicated to </w:t>
      </w:r>
      <w:r w:rsidR="00556708" w:rsidRPr="111AA247">
        <w:rPr>
          <w:color w:val="111111"/>
          <w:lang w:val="en"/>
        </w:rPr>
        <w:t>institutional</w:t>
      </w:r>
      <w:r w:rsidRPr="111AA247">
        <w:rPr>
          <w:color w:val="111111"/>
          <w:lang w:val="en"/>
        </w:rPr>
        <w:t xml:space="preserve"> workload </w:t>
      </w:r>
      <w:r w:rsidR="00556708" w:rsidRPr="111AA247">
        <w:rPr>
          <w:color w:val="111111"/>
          <w:lang w:val="en"/>
        </w:rPr>
        <w:t xml:space="preserve">is defined in the APS </w:t>
      </w:r>
      <w:r w:rsidR="00624EA0" w:rsidRPr="111AA247">
        <w:rPr>
          <w:color w:val="111111"/>
          <w:lang w:val="en"/>
        </w:rPr>
        <w:t>790601</w:t>
      </w:r>
      <w:r w:rsidR="67422651" w:rsidRPr="111AA247">
        <w:rPr>
          <w:color w:val="111111"/>
          <w:lang w:val="en"/>
        </w:rPr>
        <w:t xml:space="preserve">. </w:t>
      </w:r>
      <w:r w:rsidR="6165BE42" w:rsidRPr="111AA247">
        <w:rPr>
          <w:color w:val="111111"/>
          <w:lang w:val="en"/>
        </w:rPr>
        <w:t>F</w:t>
      </w:r>
      <w:r w:rsidR="00624EA0" w:rsidRPr="111AA247">
        <w:rPr>
          <w:color w:val="111111"/>
          <w:lang w:val="en"/>
        </w:rPr>
        <w:t xml:space="preserve">or buyout purposes, ORSP and faculty will consult </w:t>
      </w:r>
      <w:r w:rsidR="00556708" w:rsidRPr="111AA247">
        <w:rPr>
          <w:color w:val="111111"/>
          <w:lang w:val="en"/>
        </w:rPr>
        <w:t>this policy</w:t>
      </w:r>
      <w:r w:rsidRPr="111AA247">
        <w:rPr>
          <w:color w:val="111111"/>
          <w:lang w:val="en"/>
        </w:rPr>
        <w:t xml:space="preserve"> when calculating FTE credit for courses, labs, studios</w:t>
      </w:r>
      <w:r w:rsidR="00556708" w:rsidRPr="111AA247">
        <w:rPr>
          <w:color w:val="111111"/>
          <w:lang w:val="en"/>
        </w:rPr>
        <w:t xml:space="preserve">, and university-supported research.  For example, many </w:t>
      </w:r>
      <w:r w:rsidR="005E1959" w:rsidRPr="111AA247">
        <w:rPr>
          <w:color w:val="111111"/>
          <w:lang w:val="en"/>
        </w:rPr>
        <w:t>9-month tenured/tenure track faculty receive 0.</w:t>
      </w:r>
      <w:r w:rsidR="00AF5664" w:rsidRPr="111AA247">
        <w:rPr>
          <w:color w:val="111111"/>
          <w:lang w:val="en"/>
        </w:rPr>
        <w:t xml:space="preserve">125 </w:t>
      </w:r>
      <w:r w:rsidR="005E1959" w:rsidRPr="111AA247">
        <w:rPr>
          <w:color w:val="111111"/>
          <w:lang w:val="en"/>
        </w:rPr>
        <w:t>FTE per course.  Thus,</w:t>
      </w:r>
      <w:r w:rsidR="00556708" w:rsidRPr="111AA247">
        <w:rPr>
          <w:color w:val="111111"/>
          <w:lang w:val="en"/>
        </w:rPr>
        <w:t xml:space="preserve"> a</w:t>
      </w:r>
      <w:r w:rsidR="005E1959" w:rsidRPr="111AA247">
        <w:rPr>
          <w:color w:val="111111"/>
          <w:lang w:val="en"/>
        </w:rPr>
        <w:t xml:space="preserve"> faculty member on the 3-3 </w:t>
      </w:r>
      <w:r w:rsidR="00AC1D04" w:rsidRPr="111AA247">
        <w:rPr>
          <w:color w:val="111111"/>
          <w:lang w:val="en"/>
        </w:rPr>
        <w:t xml:space="preserve">workload </w:t>
      </w:r>
      <w:r w:rsidR="005E1959" w:rsidRPr="111AA247">
        <w:rPr>
          <w:color w:val="111111"/>
          <w:lang w:val="en"/>
        </w:rPr>
        <w:t xml:space="preserve">load </w:t>
      </w:r>
      <w:r w:rsidR="00556708" w:rsidRPr="111AA247">
        <w:rPr>
          <w:color w:val="111111"/>
          <w:lang w:val="en"/>
        </w:rPr>
        <w:t>is</w:t>
      </w:r>
      <w:r w:rsidR="005E1959" w:rsidRPr="111AA247">
        <w:rPr>
          <w:color w:val="111111"/>
          <w:lang w:val="en"/>
        </w:rPr>
        <w:t xml:space="preserve"> paid 0.75 FTE for teaching (</w:t>
      </w:r>
      <w:r w:rsidR="00AF5664" w:rsidRPr="111AA247">
        <w:rPr>
          <w:color w:val="111111"/>
          <w:lang w:val="en"/>
        </w:rPr>
        <w:t>6</w:t>
      </w:r>
      <w:r w:rsidR="005E1959" w:rsidRPr="111AA247">
        <w:rPr>
          <w:color w:val="111111"/>
          <w:lang w:val="en"/>
        </w:rPr>
        <w:t xml:space="preserve"> courses</w:t>
      </w:r>
      <w:r w:rsidR="00AF5664" w:rsidRPr="111AA247">
        <w:rPr>
          <w:color w:val="111111"/>
          <w:lang w:val="en"/>
        </w:rPr>
        <w:t xml:space="preserve"> total</w:t>
      </w:r>
      <w:r w:rsidR="005E1959" w:rsidRPr="111AA247">
        <w:rPr>
          <w:color w:val="111111"/>
          <w:lang w:val="en"/>
        </w:rPr>
        <w:t xml:space="preserve">) and 0.25 FTE for research in both the fall and spring semesters.  </w:t>
      </w:r>
      <w:r w:rsidR="00556708" w:rsidRPr="111AA247">
        <w:rPr>
          <w:color w:val="111111"/>
          <w:lang w:val="en"/>
        </w:rPr>
        <w:t>Faculty may buy out a portion of their teaching FTE at increments that align with workload credit assigned for each class (e.g., 25%</w:t>
      </w:r>
      <w:r w:rsidR="007A052B" w:rsidRPr="111AA247">
        <w:rPr>
          <w:color w:val="111111"/>
          <w:lang w:val="en"/>
        </w:rPr>
        <w:t xml:space="preserve"> each semester or 0.125 FTE</w:t>
      </w:r>
      <w:r w:rsidR="00556708" w:rsidRPr="111AA247">
        <w:rPr>
          <w:color w:val="111111"/>
          <w:lang w:val="en"/>
        </w:rPr>
        <w:t xml:space="preserve">), and </w:t>
      </w:r>
      <w:r w:rsidR="00AC1D04" w:rsidRPr="111AA247">
        <w:rPr>
          <w:color w:val="111111"/>
          <w:lang w:val="en"/>
        </w:rPr>
        <w:t>may buyout any portion of their</w:t>
      </w:r>
      <w:r w:rsidR="008D172F" w:rsidRPr="111AA247">
        <w:rPr>
          <w:color w:val="111111"/>
          <w:lang w:val="en"/>
        </w:rPr>
        <w:t xml:space="preserve"> </w:t>
      </w:r>
      <w:r w:rsidR="00AC1D04" w:rsidRPr="111AA247">
        <w:rPr>
          <w:color w:val="111111"/>
          <w:lang w:val="en"/>
        </w:rPr>
        <w:t>research workload</w:t>
      </w:r>
      <w:r w:rsidR="00480C2D" w:rsidRPr="111AA247">
        <w:rPr>
          <w:color w:val="111111"/>
          <w:lang w:val="en"/>
        </w:rPr>
        <w:t xml:space="preserve"> up to 20% (or 0.2 FTE) total</w:t>
      </w:r>
      <w:r w:rsidR="00AC1D04" w:rsidRPr="111AA247">
        <w:rPr>
          <w:color w:val="111111"/>
          <w:lang w:val="en"/>
        </w:rPr>
        <w:t xml:space="preserve">.  </w:t>
      </w:r>
    </w:p>
    <w:p w14:paraId="2EDE4F8B" w14:textId="7BA788AB" w:rsidR="003A3A97" w:rsidRPr="00D23EEE" w:rsidRDefault="4538F665" w:rsidP="3B769B9C">
      <w:pPr>
        <w:rPr>
          <w:b/>
          <w:bCs/>
          <w:color w:val="000000"/>
        </w:rPr>
      </w:pPr>
      <w:r w:rsidRPr="111AA247">
        <w:rPr>
          <w:color w:val="000000" w:themeColor="text1"/>
        </w:rPr>
        <w:t xml:space="preserve">The </w:t>
      </w:r>
      <w:r w:rsidR="00AC1D04" w:rsidRPr="111AA247">
        <w:rPr>
          <w:color w:val="000000" w:themeColor="text1"/>
        </w:rPr>
        <w:t>ORSP will us</w:t>
      </w:r>
      <w:r w:rsidR="538A5FB2" w:rsidRPr="111AA247">
        <w:rPr>
          <w:color w:val="000000" w:themeColor="text1"/>
        </w:rPr>
        <w:t>e</w:t>
      </w:r>
      <w:r w:rsidR="00AC1D04" w:rsidRPr="111AA247">
        <w:rPr>
          <w:color w:val="000000" w:themeColor="text1"/>
        </w:rPr>
        <w:t xml:space="preserve"> the guidelines below for f</w:t>
      </w:r>
      <w:r w:rsidR="00B042E7" w:rsidRPr="111AA247">
        <w:rPr>
          <w:color w:val="000000" w:themeColor="text1"/>
        </w:rPr>
        <w:t xml:space="preserve">aculty members that want to use </w:t>
      </w:r>
      <w:r w:rsidR="00624EA0" w:rsidRPr="111AA247">
        <w:rPr>
          <w:color w:val="000000" w:themeColor="text1"/>
        </w:rPr>
        <w:t>grant/sponsored</w:t>
      </w:r>
      <w:r w:rsidR="00B042E7" w:rsidRPr="111AA247">
        <w:rPr>
          <w:color w:val="000000" w:themeColor="text1"/>
        </w:rPr>
        <w:t xml:space="preserve"> funds to pay a portion of their FTE during the contractual period.  </w:t>
      </w:r>
    </w:p>
    <w:p w14:paraId="2EDE4F8C" w14:textId="77777777" w:rsidR="00B042E7" w:rsidRPr="00D23EEE" w:rsidRDefault="00B042E7" w:rsidP="00B042E7">
      <w:pPr>
        <w:spacing w:after="0"/>
        <w:rPr>
          <w:rFonts w:cstheme="minorHAnsi"/>
          <w:b/>
          <w:bCs/>
          <w:color w:val="000000"/>
        </w:rPr>
      </w:pPr>
    </w:p>
    <w:p w14:paraId="764D19FE" w14:textId="3E4A69F9" w:rsidR="009519FB" w:rsidRPr="00D23EEE" w:rsidRDefault="002F0955" w:rsidP="00AC1D04">
      <w:pPr>
        <w:spacing w:after="0"/>
        <w:rPr>
          <w:rFonts w:cstheme="minorHAnsi"/>
          <w:bCs/>
          <w:caps/>
          <w:u w:val="single"/>
        </w:rPr>
      </w:pPr>
      <w:r>
        <w:rPr>
          <w:rFonts w:cstheme="minorHAnsi"/>
          <w:b/>
          <w:bCs/>
          <w:smallCaps/>
          <w:color w:val="000000"/>
          <w:u w:val="single"/>
        </w:rPr>
        <w:t xml:space="preserve">Sponsored projects </w:t>
      </w:r>
      <w:r w:rsidR="003A3A97" w:rsidRPr="00D23EEE">
        <w:rPr>
          <w:rFonts w:cstheme="minorHAnsi"/>
          <w:b/>
          <w:bCs/>
          <w:smallCaps/>
          <w:color w:val="000000"/>
          <w:u w:val="single"/>
        </w:rPr>
        <w:t xml:space="preserve">Pay </w:t>
      </w:r>
      <w:r w:rsidR="00255A59" w:rsidRPr="00D23EEE">
        <w:rPr>
          <w:rFonts w:cstheme="minorHAnsi"/>
          <w:b/>
          <w:bCs/>
          <w:smallCaps/>
          <w:color w:val="000000"/>
          <w:u w:val="single"/>
        </w:rPr>
        <w:t>during</w:t>
      </w:r>
      <w:r w:rsidR="00E50323" w:rsidRPr="00D23EEE">
        <w:rPr>
          <w:rFonts w:cstheme="minorHAnsi"/>
          <w:b/>
          <w:bCs/>
          <w:smallCaps/>
          <w:color w:val="000000"/>
          <w:u w:val="single"/>
        </w:rPr>
        <w:t xml:space="preserve"> Contractual Period</w:t>
      </w:r>
      <w:r w:rsidR="009519FB" w:rsidRPr="00D23EEE">
        <w:rPr>
          <w:rFonts w:cstheme="minorHAnsi"/>
          <w:b/>
          <w:bCs/>
          <w:smallCaps/>
          <w:color w:val="000000"/>
          <w:u w:val="single"/>
        </w:rPr>
        <w:t xml:space="preserve"> for Faculty</w:t>
      </w:r>
    </w:p>
    <w:p w14:paraId="102786A4" w14:textId="6947289E" w:rsidR="00AC1D04" w:rsidRPr="00D23EEE" w:rsidRDefault="55463944" w:rsidP="111AA247">
      <w:pPr>
        <w:pStyle w:val="ListParagraph"/>
        <w:numPr>
          <w:ilvl w:val="0"/>
          <w:numId w:val="3"/>
        </w:numPr>
        <w:spacing w:after="0"/>
      </w:pPr>
      <w:r w:rsidRPr="111AA247">
        <w:t xml:space="preserve">The </w:t>
      </w:r>
      <w:r w:rsidR="00AC1D04" w:rsidRPr="111AA247">
        <w:t xml:space="preserve">ORSP will </w:t>
      </w:r>
      <w:r w:rsidR="13D006A6" w:rsidRPr="111AA247">
        <w:t>confirm</w:t>
      </w:r>
      <w:r w:rsidR="00AC1D04" w:rsidRPr="111AA247">
        <w:t xml:space="preserve"> current, actual </w:t>
      </w:r>
      <w:r w:rsidR="00AC1D04" w:rsidRPr="111AA247">
        <w:rPr>
          <w:u w:val="single"/>
        </w:rPr>
        <w:t>base</w:t>
      </w:r>
      <w:r w:rsidR="00AC1D04" w:rsidRPr="111AA247">
        <w:t xml:space="preserve"> salaries in Banner (for current employees).  This salary is referred to as the Institutional Base Salary (IBS) and excludes other salary supplements, such as one-time pays, overloads, etc.</w:t>
      </w:r>
      <w:r w:rsidR="2AF1FF62" w:rsidRPr="111AA247">
        <w:t>,</w:t>
      </w:r>
      <w:r w:rsidR="00FF1111" w:rsidRPr="111AA247">
        <w:t xml:space="preserve"> but </w:t>
      </w:r>
      <w:r w:rsidR="005D3EEF" w:rsidRPr="111AA247">
        <w:t xml:space="preserve">does </w:t>
      </w:r>
      <w:r w:rsidR="00FF1111" w:rsidRPr="111AA247">
        <w:t>include administrative supplements (i.e.</w:t>
      </w:r>
      <w:r w:rsidR="7DFB7754" w:rsidRPr="111AA247">
        <w:t>,</w:t>
      </w:r>
      <w:r w:rsidR="00FF1111" w:rsidRPr="111AA247">
        <w:t xml:space="preserve"> chair stipend)</w:t>
      </w:r>
    </w:p>
    <w:p w14:paraId="5764E9E3" w14:textId="5E25CA8F" w:rsidR="00AC1D04" w:rsidRPr="00D23EEE" w:rsidRDefault="00631511" w:rsidP="00AC1D04">
      <w:pPr>
        <w:pStyle w:val="ListParagraph"/>
        <w:numPr>
          <w:ilvl w:val="0"/>
          <w:numId w:val="3"/>
        </w:numPr>
        <w:spacing w:after="0"/>
        <w:rPr>
          <w:rFonts w:cstheme="minorHAnsi"/>
          <w:bCs/>
        </w:rPr>
      </w:pPr>
      <w:r w:rsidRPr="00D23EEE">
        <w:rPr>
          <w:rFonts w:cstheme="minorHAnsi"/>
          <w:bCs/>
        </w:rPr>
        <w:t>The faculty contract will determine the IBS period (9-month or 12-month)</w:t>
      </w:r>
    </w:p>
    <w:p w14:paraId="697AA928" w14:textId="2FCC7967" w:rsidR="00AC1D04" w:rsidRPr="00D23EEE" w:rsidRDefault="008D172F" w:rsidP="3B769B9C">
      <w:pPr>
        <w:pStyle w:val="ListParagraph"/>
        <w:numPr>
          <w:ilvl w:val="0"/>
          <w:numId w:val="3"/>
        </w:numPr>
        <w:spacing w:after="0"/>
      </w:pPr>
      <w:r w:rsidRPr="3B769B9C">
        <w:lastRenderedPageBreak/>
        <w:t xml:space="preserve">For faculty on 9-month contracts, </w:t>
      </w:r>
      <w:r w:rsidR="00A05FA0">
        <w:t>the</w:t>
      </w:r>
      <w:r w:rsidR="00A05FA0" w:rsidRPr="3B769B9C">
        <w:t xml:space="preserve"> </w:t>
      </w:r>
      <w:r w:rsidR="003F0FBD">
        <w:t xml:space="preserve">academic </w:t>
      </w:r>
      <w:r w:rsidR="00631511" w:rsidRPr="3B769B9C">
        <w:t>contract</w:t>
      </w:r>
      <w:r w:rsidR="00AC1D04" w:rsidRPr="3B769B9C">
        <w:t xml:space="preserve"> year consists of 4.5 months fall + 4.5 months</w:t>
      </w:r>
      <w:r w:rsidR="002F0955">
        <w:t xml:space="preserve"> </w:t>
      </w:r>
      <w:r w:rsidR="00AC1D04" w:rsidRPr="3B769B9C">
        <w:t>spring.  This leaves 3 months</w:t>
      </w:r>
      <w:r w:rsidR="00631511" w:rsidRPr="3B769B9C">
        <w:t>, off contract,</w:t>
      </w:r>
      <w:r w:rsidR="00AC1D04" w:rsidRPr="3B769B9C">
        <w:t xml:space="preserve"> for potential summer pay</w:t>
      </w:r>
      <w:r w:rsidR="00631511" w:rsidRPr="3B769B9C">
        <w:t xml:space="preserve"> at a monthly rate defined by the 9-month IBS</w:t>
      </w:r>
      <w:r w:rsidR="00AC1D04" w:rsidRPr="3B769B9C">
        <w:t>.</w:t>
      </w:r>
    </w:p>
    <w:p w14:paraId="5A6DF1EA" w14:textId="66A6AE9A" w:rsidR="008D172F" w:rsidRPr="00D23EEE" w:rsidRDefault="008D172F" w:rsidP="3B769B9C">
      <w:pPr>
        <w:pStyle w:val="ListParagraph"/>
        <w:numPr>
          <w:ilvl w:val="0"/>
          <w:numId w:val="3"/>
        </w:numPr>
        <w:spacing w:after="0"/>
      </w:pPr>
      <w:r w:rsidRPr="3B769B9C">
        <w:t xml:space="preserve">For faculty on 12-month contracts, an academic year consists </w:t>
      </w:r>
      <w:r w:rsidR="6FB5CF4D" w:rsidRPr="3B769B9C">
        <w:t xml:space="preserve">of </w:t>
      </w:r>
      <w:r w:rsidR="00162E49" w:rsidRPr="3B769B9C">
        <w:t>12 months</w:t>
      </w:r>
      <w:r w:rsidRPr="3B769B9C">
        <w:t xml:space="preserve"> </w:t>
      </w:r>
      <w:r w:rsidR="00162E49" w:rsidRPr="3B769B9C">
        <w:t xml:space="preserve">for faculty in College of Osteopathic Medicine, and 4.5 months in fall + 4.5 months in spring + 3 months in summer for faculty in Newton Gresham Library. </w:t>
      </w:r>
      <w:r w:rsidR="00631511" w:rsidRPr="3B769B9C">
        <w:t xml:space="preserve"> Thus, there is no off</w:t>
      </w:r>
      <w:r w:rsidR="003F0FBD">
        <w:t>-</w:t>
      </w:r>
      <w:r w:rsidR="00631511" w:rsidRPr="3B769B9C">
        <w:t>contract period for faculty on 12</w:t>
      </w:r>
      <w:r w:rsidR="008349CC">
        <w:t>-</w:t>
      </w:r>
      <w:r w:rsidR="00631511" w:rsidRPr="3B769B9C">
        <w:t>month contracts.</w:t>
      </w:r>
    </w:p>
    <w:p w14:paraId="21B846AA" w14:textId="77777777" w:rsidR="00AC1D04" w:rsidRDefault="00AC1D04" w:rsidP="111AA247">
      <w:pPr>
        <w:pStyle w:val="ListParagraph"/>
        <w:numPr>
          <w:ilvl w:val="0"/>
          <w:numId w:val="3"/>
        </w:numPr>
        <w:spacing w:after="0"/>
      </w:pPr>
      <w:r w:rsidRPr="111AA247">
        <w:t>The budgeted salary normally includes an annual 3% cost-of-living increase, effective September 1 of each year.</w:t>
      </w:r>
    </w:p>
    <w:p w14:paraId="46D589CB" w14:textId="3AA09FB5" w:rsidR="008D31A7" w:rsidRPr="00D23EEE" w:rsidRDefault="0082059E" w:rsidP="111AA247">
      <w:pPr>
        <w:pStyle w:val="ListParagraph"/>
        <w:numPr>
          <w:ilvl w:val="0"/>
          <w:numId w:val="3"/>
        </w:numPr>
        <w:spacing w:after="0"/>
      </w:pPr>
      <w:r w:rsidRPr="111AA247">
        <w:t>Sponsored project</w:t>
      </w:r>
      <w:r w:rsidR="001E5F8F" w:rsidRPr="111AA247">
        <w:t xml:space="preserve"> </w:t>
      </w:r>
      <w:r w:rsidR="009976B4" w:rsidRPr="111AA247">
        <w:t>budgets</w:t>
      </w:r>
      <w:r w:rsidR="001E5F8F" w:rsidRPr="111AA247">
        <w:t xml:space="preserve"> </w:t>
      </w:r>
      <w:r w:rsidRPr="111AA247">
        <w:t xml:space="preserve">that </w:t>
      </w:r>
      <w:r w:rsidR="009976B4" w:rsidRPr="111AA247">
        <w:t xml:space="preserve">include a time period for </w:t>
      </w:r>
      <w:r w:rsidRPr="111AA247">
        <w:t xml:space="preserve">an expected </w:t>
      </w:r>
      <w:r w:rsidR="001E5F8F" w:rsidRPr="111AA247">
        <w:t xml:space="preserve">faculty rank </w:t>
      </w:r>
      <w:r w:rsidRPr="111AA247">
        <w:t xml:space="preserve">promotion </w:t>
      </w:r>
      <w:r w:rsidR="00A14C49" w:rsidRPr="111AA247">
        <w:t xml:space="preserve">may include an </w:t>
      </w:r>
      <w:r w:rsidR="009976B4" w:rsidRPr="111AA247">
        <w:t xml:space="preserve">additional </w:t>
      </w:r>
      <w:r w:rsidR="00A14C49" w:rsidRPr="111AA247">
        <w:t xml:space="preserve">increase to include the </w:t>
      </w:r>
      <w:r w:rsidR="62702A81" w:rsidRPr="111AA247">
        <w:t>institutionally approved</w:t>
      </w:r>
      <w:r w:rsidR="00A14C49" w:rsidRPr="111AA247">
        <w:t xml:space="preserve"> </w:t>
      </w:r>
      <w:r w:rsidR="00DD2587" w:rsidRPr="111AA247">
        <w:t xml:space="preserve">promotion increase </w:t>
      </w:r>
      <w:proofErr w:type="gramStart"/>
      <w:r w:rsidR="00DD2587" w:rsidRPr="111AA247">
        <w:t>amounts</w:t>
      </w:r>
      <w:proofErr w:type="gramEnd"/>
    </w:p>
    <w:p w14:paraId="357BA726" w14:textId="10C23933" w:rsidR="00AC1D04" w:rsidRPr="00D23EEE" w:rsidRDefault="00631511" w:rsidP="111AA247">
      <w:pPr>
        <w:pStyle w:val="ListParagraph"/>
        <w:numPr>
          <w:ilvl w:val="0"/>
          <w:numId w:val="3"/>
        </w:numPr>
        <w:spacing w:after="0"/>
      </w:pPr>
      <w:r w:rsidRPr="111AA247">
        <w:t xml:space="preserve">The budget FTE buyout or summer pay will be </w:t>
      </w:r>
      <w:r w:rsidR="00AC1D04" w:rsidRPr="111AA247">
        <w:t>calculate</w:t>
      </w:r>
      <w:r w:rsidRPr="111AA247">
        <w:t>d</w:t>
      </w:r>
      <w:r w:rsidR="00AC1D04" w:rsidRPr="111AA247">
        <w:t xml:space="preserve"> </w:t>
      </w:r>
      <w:r w:rsidR="0009680A" w:rsidRPr="111AA247">
        <w:t>as</w:t>
      </w:r>
      <w:r w:rsidR="00AC1D04" w:rsidRPr="111AA247">
        <w:t xml:space="preserve"> [% of effort] X [# months on project] X [base monthly salary].  If different levels of effort apply (e.g., </w:t>
      </w:r>
      <w:r w:rsidR="003217DD" w:rsidRPr="111AA247">
        <w:t>50</w:t>
      </w:r>
      <w:r w:rsidR="00AC1D04" w:rsidRPr="111AA247">
        <w:t>% summer and 25% academic months), detail</w:t>
      </w:r>
      <w:r w:rsidR="33B046B2" w:rsidRPr="111AA247">
        <w:t>s</w:t>
      </w:r>
      <w:r w:rsidR="00AC1D04" w:rsidRPr="111AA247">
        <w:t xml:space="preserve"> must be specified on a separate budget line for each </w:t>
      </w:r>
      <w:proofErr w:type="gramStart"/>
      <w:r w:rsidR="00AC1D04" w:rsidRPr="111AA247">
        <w:t>period</w:t>
      </w:r>
      <w:proofErr w:type="gramEnd"/>
      <w:r w:rsidR="00AC1D04" w:rsidRPr="111AA247">
        <w:t xml:space="preserve">  </w:t>
      </w:r>
    </w:p>
    <w:p w14:paraId="63C829E7" w14:textId="212D3361" w:rsidR="00AC1D04" w:rsidRPr="00D23EEE" w:rsidRDefault="00AC1D04" w:rsidP="111AA247">
      <w:pPr>
        <w:pStyle w:val="ListParagraph"/>
        <w:numPr>
          <w:ilvl w:val="0"/>
          <w:numId w:val="3"/>
        </w:numPr>
        <w:spacing w:after="0"/>
      </w:pPr>
      <w:r w:rsidRPr="111AA247">
        <w:rPr>
          <w:b/>
          <w:bCs/>
        </w:rPr>
        <w:t>The total level of effort for all projects and job duties should not exceed 100%</w:t>
      </w:r>
      <w:r w:rsidR="00C27F6D" w:rsidRPr="111AA247">
        <w:rPr>
          <w:b/>
          <w:bCs/>
        </w:rPr>
        <w:t xml:space="preserve"> (1.0 FTE)</w:t>
      </w:r>
      <w:r w:rsidRPr="111AA247">
        <w:rPr>
          <w:b/>
          <w:bCs/>
        </w:rPr>
        <w:t xml:space="preserve">. </w:t>
      </w:r>
      <w:r w:rsidRPr="111AA247">
        <w:t xml:space="preserve">Sponsored activities may not result </w:t>
      </w:r>
      <w:r w:rsidR="00EF60A4" w:rsidRPr="111AA247">
        <w:t>in employees</w:t>
      </w:r>
      <w:r w:rsidRPr="111AA247">
        <w:t xml:space="preserve"> receiving compensation at a rate </w:t>
      </w:r>
      <w:r w:rsidR="784CF99D" w:rsidRPr="111AA247">
        <w:t xml:space="preserve">that exceeds their IBS. </w:t>
      </w:r>
      <w:r w:rsidRPr="111AA247">
        <w:t xml:space="preserve">  Occasionally, faculty may earn </w:t>
      </w:r>
      <w:r w:rsidR="00E46834" w:rsidRPr="111AA247">
        <w:t>an</w:t>
      </w:r>
      <w:r w:rsidRPr="111AA247">
        <w:t xml:space="preserve"> excess of 100% but is only in unusual circumstances</w:t>
      </w:r>
      <w:r w:rsidR="00822C17" w:rsidRPr="111AA247">
        <w:t>.</w:t>
      </w:r>
      <w:r w:rsidR="006922DB" w:rsidRPr="111AA247">
        <w:t xml:space="preserve"> </w:t>
      </w:r>
      <w:r w:rsidR="00822C17" w:rsidRPr="111AA247">
        <w:t>B</w:t>
      </w:r>
      <w:r w:rsidR="00E46834" w:rsidRPr="111AA247">
        <w:t>udgets should never be d</w:t>
      </w:r>
      <w:r w:rsidR="00822C17" w:rsidRPr="111AA247">
        <w:t>eveloped</w:t>
      </w:r>
      <w:r w:rsidR="00E46834" w:rsidRPr="111AA247">
        <w:t xml:space="preserve"> </w:t>
      </w:r>
      <w:r w:rsidR="00D22785" w:rsidRPr="111AA247">
        <w:t>with the expectation of exceeding 100% FTE</w:t>
      </w:r>
      <w:r w:rsidRPr="111AA247">
        <w:t>.</w:t>
      </w:r>
    </w:p>
    <w:p w14:paraId="10FC7F9A" w14:textId="1BD0338F" w:rsidR="00AC1D04" w:rsidRPr="00D23EEE" w:rsidRDefault="00AC1D04" w:rsidP="111AA247">
      <w:pPr>
        <w:pStyle w:val="ListParagraph"/>
        <w:numPr>
          <w:ilvl w:val="0"/>
          <w:numId w:val="3"/>
        </w:numPr>
      </w:pPr>
      <w:r w:rsidRPr="111AA247">
        <w:t xml:space="preserve">Negligible/minimal administrative support costs should </w:t>
      </w:r>
      <w:r w:rsidRPr="111AA247">
        <w:rPr>
          <w:u w:val="single"/>
        </w:rPr>
        <w:t>not</w:t>
      </w:r>
      <w:r w:rsidRPr="111AA247">
        <w:t xml:space="preserve"> be </w:t>
      </w:r>
      <w:r w:rsidR="007F5B20" w:rsidRPr="111AA247">
        <w:t xml:space="preserve">budgeted or </w:t>
      </w:r>
      <w:r w:rsidRPr="111AA247">
        <w:t>billed as direct costs</w:t>
      </w:r>
      <w:r w:rsidR="0394C05E" w:rsidRPr="111AA247">
        <w:t>.</w:t>
      </w:r>
      <w:r w:rsidRPr="111AA247">
        <w:t xml:space="preserve"> </w:t>
      </w:r>
      <w:r w:rsidR="5378509E" w:rsidRPr="111AA247">
        <w:t>I</w:t>
      </w:r>
      <w:r w:rsidRPr="111AA247">
        <w:t xml:space="preserve">t is expected that small amounts of administrative salary will be covered by the F&amp;A/Indirect Costs received.  </w:t>
      </w:r>
      <w:r w:rsidR="000E6509" w:rsidRPr="111AA247">
        <w:t xml:space="preserve">Administrative support </w:t>
      </w:r>
      <w:r w:rsidR="007750A0" w:rsidRPr="111AA247">
        <w:t>corresponds</w:t>
      </w:r>
      <w:r w:rsidRPr="111AA247">
        <w:t xml:space="preserve"> to both </w:t>
      </w:r>
      <w:r w:rsidR="00721047" w:rsidRPr="111AA247">
        <w:t xml:space="preserve">personnel </w:t>
      </w:r>
      <w:r w:rsidRPr="111AA247">
        <w:t xml:space="preserve">time and materials/supplies.  However, administrative costs may be charged directly to a grant if </w:t>
      </w:r>
      <w:r w:rsidR="00ED1CAB" w:rsidRPr="111AA247">
        <w:t>they are</w:t>
      </w:r>
      <w:r w:rsidRPr="111AA247">
        <w:t xml:space="preserve"> </w:t>
      </w:r>
      <w:r w:rsidR="00CE3570" w:rsidRPr="111AA247">
        <w:t xml:space="preserve">integral to </w:t>
      </w:r>
      <w:r w:rsidR="00FB5E7A" w:rsidRPr="111AA247">
        <w:t>the scope of the project,</w:t>
      </w:r>
      <w:r w:rsidR="00C22E75" w:rsidRPr="111AA247">
        <w:t xml:space="preserve"> </w:t>
      </w:r>
      <w:r w:rsidR="003614E0" w:rsidRPr="111AA247">
        <w:t xml:space="preserve">an individual or </w:t>
      </w:r>
      <w:r w:rsidR="00E943E6" w:rsidRPr="111AA247">
        <w:t xml:space="preserve">role can be specifically </w:t>
      </w:r>
      <w:r w:rsidR="002D5E95" w:rsidRPr="111AA247">
        <w:t xml:space="preserve">identified with the project or activity, </w:t>
      </w:r>
      <w:r w:rsidR="003C126B" w:rsidRPr="111AA247">
        <w:t xml:space="preserve">costs are explicitly included </w:t>
      </w:r>
      <w:r w:rsidR="003B6BF2" w:rsidRPr="111AA247">
        <w:t xml:space="preserve">in the budget </w:t>
      </w:r>
      <w:r w:rsidR="00261310" w:rsidRPr="111AA247">
        <w:t>and</w:t>
      </w:r>
      <w:r w:rsidR="004B2598" w:rsidRPr="111AA247">
        <w:t xml:space="preserve"> </w:t>
      </w:r>
      <w:r w:rsidR="00CA7F71" w:rsidRPr="111AA247">
        <w:t xml:space="preserve">have prior written approval of the </w:t>
      </w:r>
      <w:r w:rsidR="007F5653" w:rsidRPr="111AA247">
        <w:t>sponsor</w:t>
      </w:r>
      <w:r w:rsidR="0048337F" w:rsidRPr="111AA247">
        <w:t xml:space="preserve">, and </w:t>
      </w:r>
      <w:r w:rsidR="00854FB4" w:rsidRPr="111AA247">
        <w:t xml:space="preserve">costs </w:t>
      </w:r>
      <w:r w:rsidR="0048337F" w:rsidRPr="111AA247">
        <w:t xml:space="preserve">are also not </w:t>
      </w:r>
      <w:r w:rsidR="0056158C" w:rsidRPr="111AA247">
        <w:t>recovered as indirect costs.</w:t>
      </w:r>
      <w:r w:rsidR="00FB5E7A" w:rsidRPr="111AA247">
        <w:t xml:space="preserve"> </w:t>
      </w:r>
      <w:r w:rsidR="00854FB4" w:rsidRPr="111AA247">
        <w:t>Administrativ</w:t>
      </w:r>
      <w:r w:rsidR="005955A0" w:rsidRPr="111AA247">
        <w:t xml:space="preserve">e support may also be included </w:t>
      </w:r>
      <w:r w:rsidRPr="111AA247">
        <w:t xml:space="preserve">in some projects in which the </w:t>
      </w:r>
      <w:r w:rsidR="00DA1381" w:rsidRPr="111AA247">
        <w:t xml:space="preserve">University’s federally negotiated </w:t>
      </w:r>
      <w:r w:rsidRPr="111AA247">
        <w:t>IDC rate has been prohibited or reduced</w:t>
      </w:r>
      <w:r w:rsidR="007F249D" w:rsidRPr="111AA247">
        <w:t xml:space="preserve"> or as individual sponsor policies/guidelines allow</w:t>
      </w:r>
      <w:r w:rsidRPr="111AA247">
        <w:t>.</w:t>
      </w:r>
    </w:p>
    <w:p w14:paraId="7DE1B945" w14:textId="1D56B6AA" w:rsidR="0009680A" w:rsidRPr="00D23EEE" w:rsidRDefault="00EF6A95" w:rsidP="00AC1D04">
      <w:pPr>
        <w:pStyle w:val="ListParagraph"/>
        <w:numPr>
          <w:ilvl w:val="0"/>
          <w:numId w:val="3"/>
        </w:numPr>
        <w:rPr>
          <w:rFonts w:cstheme="minorHAnsi"/>
          <w:bCs/>
        </w:rPr>
      </w:pPr>
      <w:r w:rsidRPr="5FED6CAB">
        <w:t>Sponsor project</w:t>
      </w:r>
      <w:r w:rsidR="0009680A" w:rsidRPr="5FED6CAB">
        <w:t xml:space="preserve">-funded buyouts (release time) of instruction </w:t>
      </w:r>
      <w:r w:rsidR="00AC1D04" w:rsidRPr="5FED6CAB">
        <w:t xml:space="preserve">must be </w:t>
      </w:r>
      <w:r w:rsidR="0009680A" w:rsidRPr="5FED6CAB">
        <w:t>budgeted in</w:t>
      </w:r>
      <w:r w:rsidR="00AC1D04" w:rsidRPr="5FED6CAB">
        <w:t xml:space="preserve"> increments</w:t>
      </w:r>
      <w:r w:rsidR="00162E49" w:rsidRPr="5FED6CAB">
        <w:t xml:space="preserve"> that reflect the proportionate workload for </w:t>
      </w:r>
      <w:r w:rsidR="0009680A" w:rsidRPr="5FED6CAB">
        <w:t xml:space="preserve">the respective </w:t>
      </w:r>
      <w:r w:rsidR="00162E49" w:rsidRPr="5FED6CAB">
        <w:t xml:space="preserve">class (e.g., 25% </w:t>
      </w:r>
      <w:r w:rsidR="00A61244" w:rsidRPr="5FED6CAB">
        <w:t xml:space="preserve">of one semester </w:t>
      </w:r>
      <w:r w:rsidR="00162E49" w:rsidRPr="5FED6CAB">
        <w:t>for a 3</w:t>
      </w:r>
      <w:r w:rsidR="0009680A" w:rsidRPr="5FED6CAB">
        <w:t>-</w:t>
      </w:r>
      <w:r w:rsidR="00162E49" w:rsidRPr="5FED6CAB">
        <w:t>hour course) as defined in the instructional workload policy (</w:t>
      </w:r>
      <w:r w:rsidR="0009680A" w:rsidRPr="5FED6CAB">
        <w:rPr>
          <w:color w:val="111111"/>
          <w:lang w:val="en"/>
        </w:rPr>
        <w:t>APS 790601</w:t>
      </w:r>
      <w:r w:rsidR="00162E49" w:rsidRPr="5FED6CAB">
        <w:t>)</w:t>
      </w:r>
      <w:r w:rsidR="00AC1D04" w:rsidRPr="5FED6CAB">
        <w:t xml:space="preserve">.  </w:t>
      </w:r>
    </w:p>
    <w:p w14:paraId="41B7F403" w14:textId="04B95BE5" w:rsidR="00AC1D04" w:rsidRPr="00D23EEE" w:rsidRDefault="00EF6A95" w:rsidP="3B769B9C">
      <w:pPr>
        <w:pStyle w:val="ListParagraph"/>
        <w:numPr>
          <w:ilvl w:val="0"/>
          <w:numId w:val="3"/>
        </w:numPr>
      </w:pPr>
      <w:r>
        <w:t>Sponsor project</w:t>
      </w:r>
      <w:r w:rsidR="0009680A">
        <w:t xml:space="preserve">-funded buyouts </w:t>
      </w:r>
      <w:r w:rsidR="008D172F">
        <w:t>of university</w:t>
      </w:r>
      <w:r w:rsidR="00162E49">
        <w:t xml:space="preserve">-supported </w:t>
      </w:r>
      <w:r w:rsidR="008D172F">
        <w:t xml:space="preserve">research workload may be </w:t>
      </w:r>
      <w:r w:rsidR="0009680A">
        <w:t>budgeted at a</w:t>
      </w:r>
      <w:r w:rsidR="008D172F">
        <w:t xml:space="preserve"> variable </w:t>
      </w:r>
      <w:r w:rsidR="0009680A">
        <w:t>rate up to the full FTE credit defined by track in the</w:t>
      </w:r>
      <w:r w:rsidR="00162E49">
        <w:t xml:space="preserve"> instructional workload policy</w:t>
      </w:r>
      <w:r w:rsidR="0009680A">
        <w:t xml:space="preserve"> (</w:t>
      </w:r>
      <w:r w:rsidR="0009680A" w:rsidRPr="5FED6CAB">
        <w:rPr>
          <w:color w:val="111111"/>
          <w:lang w:val="en"/>
        </w:rPr>
        <w:t>APS 790601</w:t>
      </w:r>
      <w:r w:rsidR="0009680A">
        <w:t>)</w:t>
      </w:r>
      <w:r w:rsidR="008D172F">
        <w:t xml:space="preserve">.    </w:t>
      </w:r>
    </w:p>
    <w:p w14:paraId="548D3E61" w14:textId="77777777" w:rsidR="00D23EEE" w:rsidRDefault="00D23EEE" w:rsidP="00AC1D04">
      <w:pPr>
        <w:spacing w:after="0"/>
        <w:rPr>
          <w:rFonts w:cstheme="minorHAnsi"/>
          <w:b/>
          <w:bCs/>
          <w:smallCaps/>
          <w:color w:val="000000"/>
          <w:u w:val="single"/>
        </w:rPr>
      </w:pPr>
    </w:p>
    <w:p w14:paraId="45E37BB4" w14:textId="56070308" w:rsidR="009519FB" w:rsidRPr="00D23EEE" w:rsidRDefault="0059709A" w:rsidP="00AC1D04">
      <w:pPr>
        <w:spacing w:after="0"/>
        <w:rPr>
          <w:rFonts w:cstheme="minorHAnsi"/>
          <w:bCs/>
          <w:caps/>
          <w:color w:val="000000"/>
          <w:u w:val="single"/>
        </w:rPr>
      </w:pPr>
      <w:r>
        <w:rPr>
          <w:rFonts w:cstheme="minorHAnsi"/>
          <w:b/>
          <w:bCs/>
          <w:smallCaps/>
          <w:color w:val="000000"/>
          <w:u w:val="single"/>
        </w:rPr>
        <w:t>Sponsored Projects</w:t>
      </w:r>
      <w:r w:rsidR="00255A59" w:rsidRPr="00D23EEE">
        <w:rPr>
          <w:rFonts w:cstheme="minorHAnsi"/>
          <w:b/>
          <w:bCs/>
          <w:smallCaps/>
          <w:color w:val="000000"/>
          <w:u w:val="single"/>
        </w:rPr>
        <w:t xml:space="preserve"> Pay Outside of Contractual Period</w:t>
      </w:r>
      <w:r w:rsidR="009519FB" w:rsidRPr="00D23EEE">
        <w:rPr>
          <w:rFonts w:cstheme="minorHAnsi"/>
          <w:b/>
          <w:bCs/>
          <w:smallCaps/>
          <w:color w:val="000000"/>
          <w:u w:val="single"/>
        </w:rPr>
        <w:t xml:space="preserve"> for Faculty</w:t>
      </w:r>
    </w:p>
    <w:p w14:paraId="2EDE4F96" w14:textId="6EE4156F" w:rsidR="00255A59" w:rsidRPr="00D23EEE" w:rsidRDefault="0009680A" w:rsidP="4F6D7965">
      <w:pPr>
        <w:spacing w:after="0"/>
        <w:ind w:left="720" w:hanging="360"/>
        <w:rPr>
          <w:color w:val="000000"/>
        </w:rPr>
      </w:pPr>
      <w:r w:rsidRPr="4F6D7965">
        <w:rPr>
          <w:color w:val="000000" w:themeColor="text1"/>
        </w:rPr>
        <w:t>•    ORSP and PI will d</w:t>
      </w:r>
      <w:r w:rsidR="00255A59" w:rsidRPr="4F6D7965">
        <w:rPr>
          <w:color w:val="000000" w:themeColor="text1"/>
        </w:rPr>
        <w:t xml:space="preserve">etermine the </w:t>
      </w:r>
      <w:proofErr w:type="gramStart"/>
      <w:r w:rsidR="00255A59" w:rsidRPr="4F6D7965">
        <w:rPr>
          <w:color w:val="000000" w:themeColor="text1"/>
        </w:rPr>
        <w:t>number</w:t>
      </w:r>
      <w:proofErr w:type="gramEnd"/>
      <w:r w:rsidR="00255A59" w:rsidRPr="4F6D7965">
        <w:rPr>
          <w:color w:val="000000" w:themeColor="text1"/>
        </w:rPr>
        <w:t xml:space="preserve"> of months</w:t>
      </w:r>
      <w:r w:rsidR="0059709A">
        <w:rPr>
          <w:color w:val="000000" w:themeColor="text1"/>
        </w:rPr>
        <w:t>/percentage of effort the faculty member will devote to the project and be paid from the project</w:t>
      </w:r>
      <w:r w:rsidR="00255A59" w:rsidRPr="4F6D7965">
        <w:rPr>
          <w:color w:val="000000" w:themeColor="text1"/>
        </w:rPr>
        <w:t xml:space="preserve"> </w:t>
      </w:r>
      <w:r w:rsidR="00541527" w:rsidRPr="4F6D7965">
        <w:rPr>
          <w:color w:val="000000" w:themeColor="text1"/>
        </w:rPr>
        <w:t>using</w:t>
      </w:r>
      <w:r w:rsidR="00255A59" w:rsidRPr="4F6D7965">
        <w:rPr>
          <w:color w:val="000000" w:themeColor="text1"/>
        </w:rPr>
        <w:t xml:space="preserve"> </w:t>
      </w:r>
      <w:r w:rsidRPr="4F6D7965">
        <w:rPr>
          <w:color w:val="000000" w:themeColor="text1"/>
        </w:rPr>
        <w:t xml:space="preserve">sponsored </w:t>
      </w:r>
      <w:r w:rsidR="00EF6A95">
        <w:rPr>
          <w:color w:val="000000" w:themeColor="text1"/>
        </w:rPr>
        <w:t xml:space="preserve">project </w:t>
      </w:r>
      <w:r w:rsidR="00541527" w:rsidRPr="4F6D7965">
        <w:rPr>
          <w:color w:val="000000" w:themeColor="text1"/>
        </w:rPr>
        <w:t>funds</w:t>
      </w:r>
      <w:r w:rsidRPr="4F6D7965">
        <w:rPr>
          <w:color w:val="000000" w:themeColor="text1"/>
        </w:rPr>
        <w:t xml:space="preserve">. </w:t>
      </w:r>
    </w:p>
    <w:p w14:paraId="2EDE4F98" w14:textId="215F9F13" w:rsidR="00255A59" w:rsidRPr="00D23EEE" w:rsidRDefault="0009680A" w:rsidP="0009680A">
      <w:pPr>
        <w:spacing w:after="0"/>
        <w:ind w:left="720" w:hanging="360"/>
        <w:rPr>
          <w:rFonts w:cstheme="minorHAnsi"/>
          <w:bCs/>
          <w:color w:val="000000"/>
        </w:rPr>
      </w:pPr>
      <w:r w:rsidRPr="00D23EEE">
        <w:rPr>
          <w:rFonts w:cstheme="minorHAnsi"/>
          <w:bCs/>
          <w:color w:val="000000"/>
        </w:rPr>
        <w:t>•    ORSP will m</w:t>
      </w:r>
      <w:r w:rsidR="00255A59" w:rsidRPr="00D23EEE">
        <w:rPr>
          <w:rFonts w:cstheme="minorHAnsi"/>
          <w:bCs/>
          <w:color w:val="000000"/>
        </w:rPr>
        <w:t xml:space="preserve">ultiply monthly salary by the total number of months devoted to the project and by the % time devoted to the project during this period. </w:t>
      </w:r>
    </w:p>
    <w:p w14:paraId="2EDE4F99" w14:textId="2EA66F64" w:rsidR="00255A59" w:rsidRPr="00D23EEE" w:rsidRDefault="0009680A" w:rsidP="0009680A">
      <w:pPr>
        <w:spacing w:after="0"/>
        <w:ind w:left="720" w:hanging="360"/>
        <w:rPr>
          <w:rFonts w:cstheme="minorHAnsi"/>
          <w:bCs/>
          <w:color w:val="000000"/>
        </w:rPr>
      </w:pPr>
      <w:r w:rsidRPr="00D23EEE">
        <w:rPr>
          <w:rFonts w:cstheme="minorHAnsi"/>
          <w:bCs/>
          <w:color w:val="000000"/>
        </w:rPr>
        <w:t>•    ORSP will c</w:t>
      </w:r>
      <w:r w:rsidR="00255A59" w:rsidRPr="00D23EEE">
        <w:rPr>
          <w:rFonts w:cstheme="minorHAnsi"/>
          <w:bCs/>
          <w:color w:val="000000"/>
        </w:rPr>
        <w:t>alculate fringe (</w:t>
      </w:r>
      <w:r w:rsidR="009C1759">
        <w:rPr>
          <w:rFonts w:cstheme="minorHAnsi"/>
          <w:bCs/>
          <w:color w:val="000000"/>
        </w:rPr>
        <w:t xml:space="preserve">currently estimated at </w:t>
      </w:r>
      <w:r w:rsidR="00255A59" w:rsidRPr="00D23EEE">
        <w:rPr>
          <w:rFonts w:cstheme="minorHAnsi"/>
          <w:bCs/>
          <w:color w:val="000000"/>
        </w:rPr>
        <w:t xml:space="preserve">32.4%) to be </w:t>
      </w:r>
      <w:r w:rsidR="007C4A3E">
        <w:rPr>
          <w:rFonts w:cstheme="minorHAnsi"/>
          <w:bCs/>
          <w:color w:val="000000"/>
        </w:rPr>
        <w:t>budgeted</w:t>
      </w:r>
      <w:r w:rsidR="007C4A3E" w:rsidRPr="00D23EEE">
        <w:rPr>
          <w:rFonts w:cstheme="minorHAnsi"/>
          <w:bCs/>
          <w:color w:val="000000"/>
        </w:rPr>
        <w:t xml:space="preserve"> </w:t>
      </w:r>
      <w:r w:rsidR="00255A59" w:rsidRPr="00D23EEE">
        <w:rPr>
          <w:rFonts w:cstheme="minorHAnsi"/>
          <w:bCs/>
          <w:color w:val="000000"/>
        </w:rPr>
        <w:t xml:space="preserve">during this period. </w:t>
      </w:r>
    </w:p>
    <w:p w14:paraId="2EDE4F9A" w14:textId="773E82C0" w:rsidR="00255A59" w:rsidRPr="00D23EEE" w:rsidRDefault="0009680A" w:rsidP="0009680A">
      <w:pPr>
        <w:spacing w:after="0"/>
        <w:ind w:left="720" w:hanging="360"/>
        <w:rPr>
          <w:rFonts w:cstheme="minorHAnsi"/>
          <w:bCs/>
          <w:color w:val="000000"/>
        </w:rPr>
      </w:pPr>
      <w:r w:rsidRPr="3B769B9C">
        <w:rPr>
          <w:color w:val="000000" w:themeColor="text1"/>
        </w:rPr>
        <w:lastRenderedPageBreak/>
        <w:t xml:space="preserve">•    The total </w:t>
      </w:r>
      <w:r w:rsidR="0097672D">
        <w:rPr>
          <w:color w:val="000000" w:themeColor="text1"/>
        </w:rPr>
        <w:t>off-</w:t>
      </w:r>
      <w:r w:rsidRPr="3B769B9C">
        <w:rPr>
          <w:color w:val="000000" w:themeColor="text1"/>
        </w:rPr>
        <w:t xml:space="preserve"> contract pay is the s</w:t>
      </w:r>
      <w:r w:rsidR="00255A59" w:rsidRPr="3B769B9C">
        <w:rPr>
          <w:color w:val="000000" w:themeColor="text1"/>
        </w:rPr>
        <w:t>um</w:t>
      </w:r>
      <w:r w:rsidR="007A3510">
        <w:rPr>
          <w:color w:val="000000" w:themeColor="text1"/>
        </w:rPr>
        <w:t xml:space="preserve"> of</w:t>
      </w:r>
      <w:r w:rsidR="00255A59" w:rsidRPr="3B769B9C">
        <w:rPr>
          <w:color w:val="000000" w:themeColor="text1"/>
        </w:rPr>
        <w:t xml:space="preserve"> the salary and fringe to be paid by the grant</w:t>
      </w:r>
      <w:r w:rsidRPr="3B769B9C">
        <w:rPr>
          <w:color w:val="000000" w:themeColor="text1"/>
        </w:rPr>
        <w:t xml:space="preserve">/sponsored </w:t>
      </w:r>
      <w:r w:rsidR="008E45E1">
        <w:rPr>
          <w:color w:val="000000" w:themeColor="text1"/>
        </w:rPr>
        <w:t>project</w:t>
      </w:r>
      <w:r w:rsidR="008E45E1" w:rsidRPr="3B769B9C">
        <w:rPr>
          <w:color w:val="000000" w:themeColor="text1"/>
        </w:rPr>
        <w:t xml:space="preserve"> </w:t>
      </w:r>
      <w:r w:rsidRPr="3B769B9C">
        <w:rPr>
          <w:color w:val="000000" w:themeColor="text1"/>
        </w:rPr>
        <w:t xml:space="preserve">during this period. </w:t>
      </w:r>
    </w:p>
    <w:p w14:paraId="7687CC40" w14:textId="00156230" w:rsidR="6CE034D2" w:rsidRDefault="6CE034D2" w:rsidP="3B769B9C">
      <w:pPr>
        <w:pStyle w:val="ListParagraph"/>
        <w:numPr>
          <w:ilvl w:val="0"/>
          <w:numId w:val="1"/>
        </w:numPr>
        <w:spacing w:after="0"/>
        <w:rPr>
          <w:color w:val="000000" w:themeColor="text1"/>
        </w:rPr>
      </w:pPr>
      <w:r w:rsidRPr="3B769B9C">
        <w:rPr>
          <w:color w:val="000000" w:themeColor="text1"/>
        </w:rPr>
        <w:t>Teaching and/or other SHSU paid duties must be considered when determining the maximum 100% effort.</w:t>
      </w:r>
    </w:p>
    <w:p w14:paraId="30E0605D" w14:textId="77777777" w:rsidR="00943372" w:rsidRDefault="00943372" w:rsidP="00323F58">
      <w:pPr>
        <w:rPr>
          <w:rFonts w:cstheme="minorHAnsi"/>
          <w:b/>
          <w:bCs/>
          <w:smallCaps/>
          <w:u w:val="single"/>
        </w:rPr>
      </w:pPr>
    </w:p>
    <w:p w14:paraId="21591B84" w14:textId="77777777" w:rsidR="00943372" w:rsidRDefault="00323F58" w:rsidP="00943372">
      <w:pPr>
        <w:spacing w:after="0"/>
        <w:rPr>
          <w:rFonts w:cstheme="minorHAnsi"/>
          <w:b/>
          <w:bCs/>
          <w:smallCaps/>
          <w:u w:val="single"/>
        </w:rPr>
      </w:pPr>
      <w:r w:rsidRPr="00D23EEE">
        <w:rPr>
          <w:rFonts w:cstheme="minorHAnsi"/>
          <w:b/>
          <w:bCs/>
          <w:smallCaps/>
          <w:u w:val="single"/>
        </w:rPr>
        <w:t xml:space="preserve">Overloads </w:t>
      </w:r>
      <w:r w:rsidR="009519FB" w:rsidRPr="00D23EEE">
        <w:rPr>
          <w:rFonts w:cstheme="minorHAnsi"/>
          <w:b/>
          <w:bCs/>
          <w:smallCaps/>
          <w:u w:val="single"/>
        </w:rPr>
        <w:t xml:space="preserve">for Faculty </w:t>
      </w:r>
    </w:p>
    <w:p w14:paraId="74456B7B" w14:textId="142317EA" w:rsidR="00323F58" w:rsidRPr="00D23EEE" w:rsidRDefault="00323F58" w:rsidP="00943372">
      <w:pPr>
        <w:spacing w:after="0"/>
        <w:rPr>
          <w:rFonts w:cstheme="minorHAnsi"/>
        </w:rPr>
      </w:pPr>
      <w:r w:rsidRPr="00D23EEE">
        <w:rPr>
          <w:rFonts w:cstheme="minorHAnsi"/>
        </w:rPr>
        <w:t xml:space="preserve">Faculty should not request overload time and effort during the budgeting/submission phase of the application to an external sponsor.  </w:t>
      </w:r>
    </w:p>
    <w:p w14:paraId="6A86A474" w14:textId="70176BE8" w:rsidR="00323F58" w:rsidRPr="00D23EEE" w:rsidRDefault="00323F58">
      <w:pPr>
        <w:pStyle w:val="ListParagraph"/>
        <w:numPr>
          <w:ilvl w:val="0"/>
          <w:numId w:val="4"/>
        </w:numPr>
        <w:ind w:left="810"/>
        <w:rPr>
          <w:rFonts w:cstheme="minorHAnsi"/>
        </w:rPr>
      </w:pPr>
      <w:r w:rsidRPr="00D23EEE">
        <w:rPr>
          <w:rFonts w:cstheme="minorHAnsi"/>
        </w:rPr>
        <w:t xml:space="preserve">Faculty/staff should plan for FTE buyout (as a course </w:t>
      </w:r>
      <w:r w:rsidR="0068161C">
        <w:rPr>
          <w:rFonts w:cstheme="minorHAnsi"/>
        </w:rPr>
        <w:t xml:space="preserve">buyout </w:t>
      </w:r>
      <w:r w:rsidRPr="00D23EEE">
        <w:rPr>
          <w:rFonts w:cstheme="minorHAnsi"/>
        </w:rPr>
        <w:t xml:space="preserve">or other T/E commitment from the university) rather than planning for an overload.  Justifying the buyout should be clearly articulated in the budget justification and </w:t>
      </w:r>
      <w:r w:rsidR="008337EB">
        <w:rPr>
          <w:rFonts w:cstheme="minorHAnsi"/>
        </w:rPr>
        <w:t xml:space="preserve">the justification should </w:t>
      </w:r>
      <w:r w:rsidRPr="00D23EEE">
        <w:rPr>
          <w:rFonts w:cstheme="minorHAnsi"/>
        </w:rPr>
        <w:t xml:space="preserve">clearly demonstrate that the buyout is not supplanting.  This means the grant related work is replacing regular duties which will be reduced.   </w:t>
      </w:r>
    </w:p>
    <w:p w14:paraId="4A5FF119" w14:textId="0AE548D4" w:rsidR="00323F58" w:rsidRPr="00D23EEE" w:rsidRDefault="00323F58" w:rsidP="3B769B9C">
      <w:pPr>
        <w:pStyle w:val="ListParagraph"/>
        <w:numPr>
          <w:ilvl w:val="0"/>
          <w:numId w:val="4"/>
        </w:numPr>
        <w:ind w:left="810"/>
      </w:pPr>
      <w:r w:rsidRPr="3B769B9C">
        <w:t xml:space="preserve">If the </w:t>
      </w:r>
      <w:r w:rsidR="00A75ED4">
        <w:t>sponsored project</w:t>
      </w:r>
      <w:r w:rsidR="00A75ED4" w:rsidRPr="3B769B9C">
        <w:t xml:space="preserve"> </w:t>
      </w:r>
      <w:r w:rsidRPr="3B769B9C">
        <w:t>i</w:t>
      </w:r>
      <w:r w:rsidR="113E2301" w:rsidRPr="3B769B9C">
        <w:t>s</w:t>
      </w:r>
      <w:r w:rsidRPr="3B769B9C">
        <w:t xml:space="preserve"> funded</w:t>
      </w:r>
      <w:r w:rsidR="00136163">
        <w:t xml:space="preserve"> that included a proposed buyout</w:t>
      </w:r>
      <w:r w:rsidRPr="3B769B9C">
        <w:t xml:space="preserve"> and </w:t>
      </w:r>
      <w:r w:rsidR="00136163">
        <w:t>the</w:t>
      </w:r>
      <w:r w:rsidRPr="3B769B9C">
        <w:t xml:space="preserve"> buyout cannot happen, the Instructional Overload Assignment policy (APS 810701) must be followed.  </w:t>
      </w:r>
    </w:p>
    <w:p w14:paraId="38632E7E" w14:textId="40FDA392" w:rsidR="00323F58" w:rsidRPr="00D23EEE" w:rsidRDefault="00323F58">
      <w:pPr>
        <w:pStyle w:val="ListParagraph"/>
        <w:numPr>
          <w:ilvl w:val="0"/>
          <w:numId w:val="4"/>
        </w:numPr>
        <w:ind w:left="810"/>
        <w:rPr>
          <w:rFonts w:cstheme="minorHAnsi"/>
          <w:b/>
        </w:rPr>
      </w:pPr>
      <w:r w:rsidRPr="00D23EEE">
        <w:rPr>
          <w:rFonts w:cstheme="minorHAnsi"/>
        </w:rPr>
        <w:t xml:space="preserve">To reduce </w:t>
      </w:r>
      <w:r w:rsidR="00136163">
        <w:rPr>
          <w:rFonts w:cstheme="minorHAnsi"/>
        </w:rPr>
        <w:t xml:space="preserve">the </w:t>
      </w:r>
      <w:r w:rsidRPr="00D23EEE">
        <w:rPr>
          <w:rFonts w:cstheme="minorHAnsi"/>
        </w:rPr>
        <w:t xml:space="preserve">need for overloads, as they should be rare, PIs should consult with their supervisors (Chair, Dean, etc.) during budget development.  </w:t>
      </w:r>
    </w:p>
    <w:p w14:paraId="2AF9682E" w14:textId="77777777" w:rsidR="00D23EEE" w:rsidRDefault="00D23EEE" w:rsidP="00323F58">
      <w:pPr>
        <w:rPr>
          <w:rFonts w:cstheme="minorHAnsi"/>
          <w:b/>
          <w:smallCaps/>
          <w:u w:val="single"/>
        </w:rPr>
      </w:pPr>
    </w:p>
    <w:p w14:paraId="29337A5F" w14:textId="77777777" w:rsidR="00943372" w:rsidRDefault="00D23EEE" w:rsidP="00943372">
      <w:pPr>
        <w:spacing w:after="0"/>
        <w:rPr>
          <w:rFonts w:cstheme="minorHAnsi"/>
          <w:b/>
          <w:smallCaps/>
          <w:u w:val="single"/>
        </w:rPr>
      </w:pPr>
      <w:r w:rsidRPr="00D23EEE">
        <w:rPr>
          <w:rFonts w:cstheme="minorHAnsi"/>
          <w:b/>
          <w:smallCaps/>
          <w:u w:val="single"/>
        </w:rPr>
        <w:t xml:space="preserve">Administrative </w:t>
      </w:r>
      <w:r w:rsidR="00323F58" w:rsidRPr="00D23EEE">
        <w:rPr>
          <w:rFonts w:cstheme="minorHAnsi"/>
          <w:b/>
          <w:smallCaps/>
          <w:u w:val="single"/>
        </w:rPr>
        <w:t xml:space="preserve">Approvals </w:t>
      </w:r>
    </w:p>
    <w:p w14:paraId="2F9C3F81" w14:textId="19279973" w:rsidR="0009680A" w:rsidRPr="00D23EEE" w:rsidRDefault="00A75ED4" w:rsidP="00943372">
      <w:pPr>
        <w:spacing w:after="0"/>
        <w:rPr>
          <w:rFonts w:cstheme="minorHAnsi"/>
          <w:bCs/>
        </w:rPr>
      </w:pPr>
      <w:r>
        <w:rPr>
          <w:rFonts w:cstheme="minorHAnsi"/>
          <w:bCs/>
        </w:rPr>
        <w:t>Sponsor</w:t>
      </w:r>
      <w:r w:rsidR="00384D12">
        <w:rPr>
          <w:rFonts w:cstheme="minorHAnsi"/>
          <w:bCs/>
        </w:rPr>
        <w:t>ed</w:t>
      </w:r>
      <w:r>
        <w:rPr>
          <w:rFonts w:cstheme="minorHAnsi"/>
          <w:bCs/>
        </w:rPr>
        <w:t xml:space="preserve"> project</w:t>
      </w:r>
      <w:r w:rsidR="0009680A" w:rsidRPr="00D23EEE">
        <w:rPr>
          <w:rFonts w:cstheme="minorHAnsi"/>
          <w:bCs/>
        </w:rPr>
        <w:t xml:space="preserve">-funded buyouts (release time) of instruction or university-sponsored research </w:t>
      </w:r>
      <w:r w:rsidR="00323F58" w:rsidRPr="00D23EEE">
        <w:rPr>
          <w:rFonts w:cstheme="minorHAnsi"/>
          <w:bCs/>
        </w:rPr>
        <w:t>FTE during the contract period</w:t>
      </w:r>
      <w:r w:rsidR="0009680A" w:rsidRPr="00D23EEE">
        <w:rPr>
          <w:rFonts w:cstheme="minorHAnsi"/>
          <w:bCs/>
        </w:rPr>
        <w:t xml:space="preserve"> </w:t>
      </w:r>
      <w:r w:rsidR="0039217C">
        <w:rPr>
          <w:rFonts w:cstheme="minorHAnsi"/>
          <w:bCs/>
        </w:rPr>
        <w:t xml:space="preserve">and/or non-contract period </w:t>
      </w:r>
      <w:r w:rsidR="0009680A" w:rsidRPr="00D23EEE">
        <w:rPr>
          <w:rFonts w:cstheme="minorHAnsi"/>
          <w:bCs/>
        </w:rPr>
        <w:t>must be approved by the respective supervisor (Chair, Dean, or equivalent)</w:t>
      </w:r>
      <w:r w:rsidR="00323F58" w:rsidRPr="00D23EEE">
        <w:rPr>
          <w:rFonts w:cstheme="minorHAnsi"/>
          <w:bCs/>
        </w:rPr>
        <w:t xml:space="preserve">. </w:t>
      </w:r>
    </w:p>
    <w:p w14:paraId="28714E2C" w14:textId="1D1C55D1" w:rsidR="00323F58" w:rsidRPr="00D23EEE" w:rsidRDefault="00B042E7" w:rsidP="4F6D7965">
      <w:r w:rsidRPr="4F6D7965">
        <w:t xml:space="preserve">The approvals are included in the </w:t>
      </w:r>
      <w:r w:rsidR="00EF60A4" w:rsidRPr="4F6D7965">
        <w:t>ORSP routing</w:t>
      </w:r>
      <w:r w:rsidRPr="4F6D7965">
        <w:t xml:space="preserve"> </w:t>
      </w:r>
      <w:r w:rsidR="71AB1F35" w:rsidRPr="4F6D7965">
        <w:t>process</w:t>
      </w:r>
      <w:r w:rsidRPr="4F6D7965">
        <w:t xml:space="preserve">. </w:t>
      </w:r>
    </w:p>
    <w:p w14:paraId="33EFE01A" w14:textId="77777777" w:rsidR="009519FB" w:rsidRPr="00D23EEE" w:rsidRDefault="009519FB" w:rsidP="00323F58">
      <w:pPr>
        <w:rPr>
          <w:rFonts w:cstheme="minorHAnsi"/>
          <w:b/>
          <w:bCs/>
        </w:rPr>
      </w:pPr>
    </w:p>
    <w:p w14:paraId="6B795915" w14:textId="77777777" w:rsidR="00943372" w:rsidRDefault="00D23EEE" w:rsidP="00943372">
      <w:pPr>
        <w:spacing w:after="0"/>
        <w:rPr>
          <w:rFonts w:cstheme="minorHAnsi"/>
          <w:b/>
          <w:bCs/>
          <w:i/>
          <w:iCs/>
          <w:smallCaps/>
          <w:u w:val="single"/>
        </w:rPr>
      </w:pPr>
      <w:r w:rsidRPr="00D23EEE">
        <w:rPr>
          <w:rFonts w:cstheme="minorHAnsi"/>
          <w:b/>
          <w:bCs/>
          <w:smallCaps/>
          <w:u w:val="single"/>
        </w:rPr>
        <w:t>Special Cases</w:t>
      </w:r>
      <w:r w:rsidR="009519FB" w:rsidRPr="00D23EEE">
        <w:rPr>
          <w:rFonts w:cstheme="minorHAnsi"/>
          <w:b/>
          <w:bCs/>
          <w:smallCaps/>
          <w:u w:val="single"/>
        </w:rPr>
        <w:t xml:space="preserve"> – </w:t>
      </w:r>
      <w:r w:rsidRPr="00D23EEE">
        <w:rPr>
          <w:rFonts w:cstheme="minorHAnsi"/>
          <w:b/>
          <w:bCs/>
          <w:i/>
          <w:iCs/>
          <w:smallCaps/>
          <w:u w:val="single"/>
        </w:rPr>
        <w:t>Chairs, Staff, &amp; Students</w:t>
      </w:r>
    </w:p>
    <w:p w14:paraId="5565AE51" w14:textId="3C8F95F9" w:rsidR="00323F58" w:rsidRPr="00D23EEE" w:rsidRDefault="009519FB" w:rsidP="00943372">
      <w:pPr>
        <w:spacing w:after="0"/>
        <w:rPr>
          <w:rFonts w:cstheme="minorHAnsi"/>
          <w:b/>
          <w:bCs/>
          <w:i/>
          <w:iCs/>
        </w:rPr>
      </w:pPr>
      <w:r w:rsidRPr="00D23EEE">
        <w:rPr>
          <w:rFonts w:cstheme="minorHAnsi"/>
          <w:b/>
          <w:bCs/>
          <w:i/>
          <w:iCs/>
        </w:rPr>
        <w:t>Department Chairs</w:t>
      </w:r>
    </w:p>
    <w:p w14:paraId="05D3CC1F" w14:textId="58C361C7" w:rsidR="009519FB" w:rsidRPr="00D23EEE" w:rsidRDefault="009519FB" w:rsidP="009519FB">
      <w:pPr>
        <w:rPr>
          <w:rFonts w:eastAsiaTheme="minorEastAsia" w:cstheme="minorHAnsi"/>
          <w:i/>
          <w:iCs/>
        </w:rPr>
      </w:pPr>
      <w:r w:rsidRPr="00D23EEE">
        <w:rPr>
          <w:rFonts w:cstheme="minorHAnsi"/>
        </w:rPr>
        <w:t xml:space="preserve">APS 110511 states:  The workload for a chair is impacted by a wide variety of factors, to include, among others, the number and contract status of faculty in the department, oversight of facilities and laboratory spaces, undergraduate and graduate majors served, accreditation, curricular demands, community engagement, public programming, alumni outreach, and research/creative activity. Given the complexity of this administrative appointment across the University, it is expected that variances will occur in workload and stipends.   </w:t>
      </w:r>
    </w:p>
    <w:p w14:paraId="68322682" w14:textId="6AEF8607" w:rsidR="00323F58" w:rsidRPr="00D23EEE" w:rsidRDefault="009519FB" w:rsidP="009519FB">
      <w:pPr>
        <w:rPr>
          <w:rFonts w:eastAsiaTheme="minorEastAsia" w:cstheme="minorHAnsi"/>
          <w:i/>
          <w:iCs/>
        </w:rPr>
      </w:pPr>
      <w:r w:rsidRPr="00D23EEE">
        <w:rPr>
          <w:rFonts w:cstheme="minorHAnsi"/>
        </w:rPr>
        <w:t xml:space="preserve">The compensation for a chair may include both a stipend and reduced annual teaching load. The compensation package is set by the academic dean upon approval of the </w:t>
      </w:r>
      <w:proofErr w:type="gramStart"/>
      <w:r w:rsidRPr="00D23EEE">
        <w:rPr>
          <w:rFonts w:cstheme="minorHAnsi"/>
        </w:rPr>
        <w:t>Provost</w:t>
      </w:r>
      <w:proofErr w:type="gramEnd"/>
      <w:r w:rsidRPr="00D23EEE">
        <w:rPr>
          <w:rFonts w:cstheme="minorHAnsi"/>
        </w:rPr>
        <w:t xml:space="preserve">. The chair will teach at least one class during each of the fall and spring semesters and be on campus throughout the academic year as well as the summer months (9-month contract with a 3-month summer stipend) unless prior salary and load arrangements have been approved by the dean and Provost.  </w:t>
      </w:r>
      <w:r w:rsidR="00323F58" w:rsidRPr="00D23EEE">
        <w:rPr>
          <w:rFonts w:eastAsia="Calibri" w:cstheme="minorHAnsi"/>
        </w:rPr>
        <w:t xml:space="preserve">The specific arrangements </w:t>
      </w:r>
      <w:r w:rsidR="00323F58" w:rsidRPr="00D23EEE">
        <w:rPr>
          <w:rFonts w:eastAsia="Calibri" w:cstheme="minorHAnsi"/>
        </w:rPr>
        <w:lastRenderedPageBreak/>
        <w:t>of a department chair, or an assistant chair, may preclude the allowability of him/her receiving summer pay.</w:t>
      </w:r>
    </w:p>
    <w:p w14:paraId="66FC30B3" w14:textId="77777777" w:rsidR="00323F58" w:rsidRPr="00D23EEE" w:rsidRDefault="00323F58" w:rsidP="00323F58">
      <w:pPr>
        <w:pStyle w:val="ListParagraph"/>
        <w:numPr>
          <w:ilvl w:val="0"/>
          <w:numId w:val="6"/>
        </w:numPr>
        <w:rPr>
          <w:rFonts w:cstheme="minorHAnsi"/>
          <w:i/>
          <w:iCs/>
        </w:rPr>
      </w:pPr>
      <w:r w:rsidRPr="00D23EEE">
        <w:rPr>
          <w:rFonts w:eastAsia="Calibri" w:cstheme="minorHAnsi"/>
        </w:rPr>
        <w:t xml:space="preserve">A one-time stipend may be more </w:t>
      </w:r>
      <w:proofErr w:type="gramStart"/>
      <w:r w:rsidRPr="00D23EEE">
        <w:rPr>
          <w:rFonts w:eastAsia="Calibri" w:cstheme="minorHAnsi"/>
        </w:rPr>
        <w:t>appropriate</w:t>
      </w:r>
      <w:proofErr w:type="gramEnd"/>
    </w:p>
    <w:p w14:paraId="73E53D4F" w14:textId="01F5BAF9" w:rsidR="00323F58" w:rsidRPr="00D23EEE" w:rsidRDefault="00323F58" w:rsidP="00323F58">
      <w:pPr>
        <w:pStyle w:val="ListParagraph"/>
        <w:numPr>
          <w:ilvl w:val="0"/>
          <w:numId w:val="6"/>
        </w:numPr>
        <w:rPr>
          <w:rFonts w:cstheme="minorHAnsi"/>
          <w:i/>
          <w:iCs/>
        </w:rPr>
      </w:pPr>
      <w:r w:rsidRPr="00D23EEE">
        <w:rPr>
          <w:rFonts w:eastAsia="Calibri" w:cstheme="minorHAnsi"/>
        </w:rPr>
        <w:t xml:space="preserve">Each situation must be reviewed </w:t>
      </w:r>
      <w:proofErr w:type="gramStart"/>
      <w:r w:rsidRPr="00D23EEE">
        <w:rPr>
          <w:rFonts w:eastAsia="Calibri" w:cstheme="minorHAnsi"/>
        </w:rPr>
        <w:t>individually</w:t>
      </w:r>
      <w:proofErr w:type="gramEnd"/>
    </w:p>
    <w:p w14:paraId="3C6DEA53" w14:textId="29B15AC4" w:rsidR="00323F58" w:rsidRPr="00D23EEE" w:rsidRDefault="009519FB" w:rsidP="00323F58">
      <w:pPr>
        <w:rPr>
          <w:rFonts w:cstheme="minorHAnsi"/>
          <w:b/>
          <w:i/>
          <w:iCs/>
        </w:rPr>
      </w:pPr>
      <w:r w:rsidRPr="00D23EEE">
        <w:rPr>
          <w:rFonts w:cstheme="minorHAnsi"/>
          <w:b/>
          <w:i/>
          <w:iCs/>
        </w:rPr>
        <w:t>Staff</w:t>
      </w:r>
    </w:p>
    <w:p w14:paraId="5FC337E9" w14:textId="77777777" w:rsidR="00323F58" w:rsidRPr="00D23EEE" w:rsidRDefault="00323F58" w:rsidP="00323F58">
      <w:pPr>
        <w:pStyle w:val="ListParagraph"/>
        <w:numPr>
          <w:ilvl w:val="0"/>
          <w:numId w:val="9"/>
        </w:numPr>
        <w:rPr>
          <w:rFonts w:cstheme="minorHAnsi"/>
          <w:bCs/>
        </w:rPr>
      </w:pPr>
      <w:r w:rsidRPr="00D23EEE">
        <w:rPr>
          <w:rFonts w:cstheme="minorHAnsi"/>
          <w:bCs/>
        </w:rPr>
        <w:t xml:space="preserve">Staff receive salary 12 months/year; spreadsheet formulas must reflect </w:t>
      </w:r>
      <w:proofErr w:type="gramStart"/>
      <w:r w:rsidRPr="00D23EEE">
        <w:rPr>
          <w:rFonts w:cstheme="minorHAnsi"/>
          <w:bCs/>
        </w:rPr>
        <w:t>this</w:t>
      </w:r>
      <w:proofErr w:type="gramEnd"/>
    </w:p>
    <w:p w14:paraId="5F44C39A" w14:textId="77777777" w:rsidR="00323F58" w:rsidRPr="00D23EEE" w:rsidRDefault="00323F58" w:rsidP="00323F58">
      <w:pPr>
        <w:pStyle w:val="ListParagraph"/>
        <w:numPr>
          <w:ilvl w:val="0"/>
          <w:numId w:val="9"/>
        </w:numPr>
        <w:rPr>
          <w:rFonts w:cstheme="minorHAnsi"/>
        </w:rPr>
      </w:pPr>
      <w:r w:rsidRPr="00D23EEE">
        <w:rPr>
          <w:rFonts w:cstheme="minorHAnsi"/>
        </w:rPr>
        <w:t>As with faculty, effort should normally be limited to 100% time (exceptions are possible)</w:t>
      </w:r>
    </w:p>
    <w:p w14:paraId="6C10E29A" w14:textId="4B12A2D2" w:rsidR="00323F58" w:rsidRPr="00D23EEE" w:rsidRDefault="00323F58" w:rsidP="00323F58">
      <w:pPr>
        <w:pStyle w:val="ListParagraph"/>
        <w:numPr>
          <w:ilvl w:val="0"/>
          <w:numId w:val="9"/>
        </w:numPr>
        <w:rPr>
          <w:rFonts w:cstheme="minorHAnsi"/>
        </w:rPr>
      </w:pPr>
      <w:r w:rsidRPr="00D23EEE">
        <w:rPr>
          <w:rFonts w:cstheme="minorHAnsi"/>
        </w:rPr>
        <w:t xml:space="preserve">Staff do not normally receive extra pay, </w:t>
      </w:r>
      <w:r w:rsidR="00A71941">
        <w:rPr>
          <w:rFonts w:cstheme="minorHAnsi"/>
        </w:rPr>
        <w:t xml:space="preserve">but receive a </w:t>
      </w:r>
      <w:r w:rsidRPr="00D23EEE">
        <w:rPr>
          <w:rFonts w:cstheme="minorHAnsi"/>
        </w:rPr>
        <w:t xml:space="preserve">reallocation of job duties if </w:t>
      </w:r>
      <w:proofErr w:type="gramStart"/>
      <w:r w:rsidRPr="00D23EEE">
        <w:rPr>
          <w:rFonts w:cstheme="minorHAnsi"/>
        </w:rPr>
        <w:t>budgeted</w:t>
      </w:r>
      <w:proofErr w:type="gramEnd"/>
      <w:r w:rsidRPr="00D23EEE">
        <w:rPr>
          <w:rFonts w:cstheme="minorHAnsi"/>
        </w:rPr>
        <w:t xml:space="preserve"> on an awarded proposal</w:t>
      </w:r>
    </w:p>
    <w:p w14:paraId="5ED23138" w14:textId="55623C71" w:rsidR="00323F58" w:rsidRPr="00D23EEE" w:rsidRDefault="00323F58" w:rsidP="3B769B9C">
      <w:pPr>
        <w:pStyle w:val="ListParagraph"/>
        <w:numPr>
          <w:ilvl w:val="0"/>
          <w:numId w:val="9"/>
        </w:numPr>
      </w:pPr>
      <w:r w:rsidRPr="3B769B9C">
        <w:t>Non-exempt staff would be paid time and a half,</w:t>
      </w:r>
      <w:r w:rsidR="00A71941">
        <w:t xml:space="preserve"> when </w:t>
      </w:r>
      <w:r w:rsidR="0037188E">
        <w:t>required,</w:t>
      </w:r>
      <w:r w:rsidRPr="3B769B9C">
        <w:t xml:space="preserve"> which is </w:t>
      </w:r>
      <w:r w:rsidR="44EAA53E" w:rsidRPr="3B769B9C">
        <w:t xml:space="preserve">rarely allowed by </w:t>
      </w:r>
      <w:r w:rsidR="0037188E">
        <w:t xml:space="preserve">funding </w:t>
      </w:r>
      <w:r w:rsidRPr="3B769B9C">
        <w:t>sponsor</w:t>
      </w:r>
      <w:r w:rsidR="62E1FD08" w:rsidRPr="3B769B9C">
        <w:t xml:space="preserve">s. </w:t>
      </w:r>
      <w:r w:rsidR="229318A2" w:rsidRPr="3B769B9C">
        <w:t xml:space="preserve"> If allowable, t</w:t>
      </w:r>
      <w:r w:rsidR="0037188E">
        <w:t>he circumstances</w:t>
      </w:r>
      <w:r w:rsidR="229318A2" w:rsidRPr="3B769B9C">
        <w:t xml:space="preserve"> must be clea</w:t>
      </w:r>
      <w:r w:rsidR="5C7B66A4" w:rsidRPr="3B769B9C">
        <w:t xml:space="preserve">rly explained in the budget justification </w:t>
      </w:r>
      <w:r w:rsidR="229318A2" w:rsidRPr="3B769B9C">
        <w:t>at the time of proposal submission.</w:t>
      </w:r>
    </w:p>
    <w:p w14:paraId="40B7142D" w14:textId="34B58FB9" w:rsidR="00323F58" w:rsidRPr="00D23EEE" w:rsidRDefault="00323F58" w:rsidP="00323F58">
      <w:pPr>
        <w:pStyle w:val="ListParagraph"/>
        <w:numPr>
          <w:ilvl w:val="0"/>
          <w:numId w:val="9"/>
        </w:numPr>
        <w:rPr>
          <w:rFonts w:cstheme="minorHAnsi"/>
          <w:bCs/>
        </w:rPr>
      </w:pPr>
      <w:r w:rsidRPr="00D23EEE">
        <w:rPr>
          <w:rFonts w:cstheme="minorHAnsi"/>
          <w:bCs/>
        </w:rPr>
        <w:t xml:space="preserve">Negligible/minimal administrative support costs should </w:t>
      </w:r>
      <w:r w:rsidRPr="00D23EEE">
        <w:rPr>
          <w:rFonts w:cstheme="minorHAnsi"/>
          <w:bCs/>
          <w:u w:val="single"/>
        </w:rPr>
        <w:t>not</w:t>
      </w:r>
      <w:r w:rsidRPr="00D23EEE">
        <w:rPr>
          <w:rFonts w:cstheme="minorHAnsi"/>
          <w:bCs/>
        </w:rPr>
        <w:t xml:space="preserve"> be billed as direct costs; it is expected that small amounts of administrative salary will be covered by the F&amp;A/Indirect Costs received.  However, administrative costs </w:t>
      </w:r>
      <w:r w:rsidR="00DF21A9" w:rsidRPr="00D23EEE">
        <w:rPr>
          <w:rFonts w:cstheme="minorHAnsi"/>
          <w:bCs/>
        </w:rPr>
        <w:t xml:space="preserve">may be charged directly to a grant if </w:t>
      </w:r>
      <w:r w:rsidR="00DF21A9">
        <w:rPr>
          <w:rFonts w:cstheme="minorHAnsi"/>
          <w:bCs/>
        </w:rPr>
        <w:t>they are</w:t>
      </w:r>
      <w:r w:rsidR="00DF21A9" w:rsidRPr="00D23EEE">
        <w:rPr>
          <w:rFonts w:cstheme="minorHAnsi"/>
          <w:bCs/>
        </w:rPr>
        <w:t xml:space="preserve"> </w:t>
      </w:r>
      <w:r w:rsidR="00DF21A9">
        <w:rPr>
          <w:rFonts w:cstheme="minorHAnsi"/>
          <w:bCs/>
        </w:rPr>
        <w:t xml:space="preserve">integral to the scope of the project, an individual or role can be specifically identified with the project or activity, costs are explicitly included in the budget </w:t>
      </w:r>
      <w:r w:rsidR="00261310">
        <w:rPr>
          <w:rFonts w:cstheme="minorHAnsi"/>
          <w:bCs/>
        </w:rPr>
        <w:t>and</w:t>
      </w:r>
      <w:r w:rsidR="00DF21A9">
        <w:rPr>
          <w:rFonts w:cstheme="minorHAnsi"/>
          <w:bCs/>
        </w:rPr>
        <w:t xml:space="preserve"> have prior written approval of the sponsor, and costs are also not recovered as indirect costs. Administrative support may also be included </w:t>
      </w:r>
      <w:r w:rsidR="00DF21A9" w:rsidRPr="00D23EEE">
        <w:rPr>
          <w:rFonts w:cstheme="minorHAnsi"/>
          <w:bCs/>
        </w:rPr>
        <w:t xml:space="preserve">in some projects in which the </w:t>
      </w:r>
      <w:r w:rsidR="00DF21A9">
        <w:rPr>
          <w:rFonts w:cstheme="minorHAnsi"/>
          <w:bCs/>
        </w:rPr>
        <w:t xml:space="preserve">University’s federally negotiated </w:t>
      </w:r>
      <w:r w:rsidR="00DF21A9" w:rsidRPr="00D23EEE">
        <w:rPr>
          <w:rFonts w:cstheme="minorHAnsi"/>
          <w:bCs/>
        </w:rPr>
        <w:t>IDC rate has been prohibited or reduced</w:t>
      </w:r>
      <w:r w:rsidR="00DF21A9">
        <w:rPr>
          <w:rFonts w:cstheme="minorHAnsi"/>
          <w:bCs/>
        </w:rPr>
        <w:t xml:space="preserve"> or as individual sponsor policies/guidelines allow</w:t>
      </w:r>
      <w:r w:rsidR="00DF21A9" w:rsidRPr="00D23EEE">
        <w:rPr>
          <w:rFonts w:cstheme="minorHAnsi"/>
          <w:bCs/>
        </w:rPr>
        <w:t>.</w:t>
      </w:r>
    </w:p>
    <w:p w14:paraId="4A8DCC3A" w14:textId="1636338B" w:rsidR="00323F58" w:rsidRPr="00D23EEE" w:rsidRDefault="00323F58" w:rsidP="00323F58">
      <w:pPr>
        <w:pStyle w:val="ListParagraph"/>
        <w:numPr>
          <w:ilvl w:val="0"/>
          <w:numId w:val="9"/>
        </w:numPr>
        <w:rPr>
          <w:rFonts w:cstheme="minorHAnsi"/>
        </w:rPr>
      </w:pPr>
      <w:r w:rsidRPr="00D23EEE">
        <w:rPr>
          <w:rFonts w:cstheme="minorHAnsi"/>
        </w:rPr>
        <w:t xml:space="preserve">The staff </w:t>
      </w:r>
      <w:r w:rsidR="00261310">
        <w:rPr>
          <w:rFonts w:cstheme="minorHAnsi"/>
        </w:rPr>
        <w:t>member</w:t>
      </w:r>
      <w:r w:rsidRPr="00D23EEE">
        <w:rPr>
          <w:rFonts w:cstheme="minorHAnsi"/>
        </w:rPr>
        <w:t xml:space="preserve">’s department/college </w:t>
      </w:r>
      <w:proofErr w:type="spellStart"/>
      <w:r w:rsidR="00E52551">
        <w:rPr>
          <w:rFonts w:cstheme="minorHAnsi"/>
        </w:rPr>
        <w:t>receiveds</w:t>
      </w:r>
      <w:proofErr w:type="spellEnd"/>
      <w:r w:rsidRPr="00D23EEE">
        <w:rPr>
          <w:rFonts w:cstheme="minorHAnsi"/>
        </w:rPr>
        <w:t xml:space="preserve"> credit (funding) </w:t>
      </w:r>
      <w:proofErr w:type="gramStart"/>
      <w:r w:rsidRPr="00D23EEE">
        <w:rPr>
          <w:rFonts w:cstheme="minorHAnsi"/>
        </w:rPr>
        <w:t>for the amount of</w:t>
      </w:r>
      <w:proofErr w:type="gramEnd"/>
      <w:r w:rsidRPr="00D23EEE">
        <w:rPr>
          <w:rFonts w:cstheme="minorHAnsi"/>
        </w:rPr>
        <w:t xml:space="preserve"> time committed to the grant.  This salary savings is tracked via an Electronic Personnel Action Form (</w:t>
      </w:r>
      <w:proofErr w:type="spellStart"/>
      <w:r w:rsidRPr="00D23EEE">
        <w:rPr>
          <w:rFonts w:cstheme="minorHAnsi"/>
        </w:rPr>
        <w:t>e</w:t>
      </w:r>
      <w:r w:rsidR="00261310">
        <w:rPr>
          <w:rFonts w:cstheme="minorHAnsi"/>
        </w:rPr>
        <w:t>P</w:t>
      </w:r>
      <w:r w:rsidRPr="00D23EEE">
        <w:rPr>
          <w:rFonts w:cstheme="minorHAnsi"/>
        </w:rPr>
        <w:t>af</w:t>
      </w:r>
      <w:proofErr w:type="spellEnd"/>
      <w:r w:rsidRPr="00D23EEE">
        <w:rPr>
          <w:rFonts w:cstheme="minorHAnsi"/>
        </w:rPr>
        <w:t>).</w:t>
      </w:r>
    </w:p>
    <w:p w14:paraId="3CE0AAA8" w14:textId="77777777" w:rsidR="00323F58" w:rsidRPr="00D23EEE" w:rsidRDefault="00323F58" w:rsidP="00323F58">
      <w:pPr>
        <w:rPr>
          <w:rFonts w:eastAsia="Calibri" w:cstheme="minorHAnsi"/>
          <w:color w:val="212121"/>
        </w:rPr>
      </w:pPr>
      <w:r w:rsidRPr="00D23EEE">
        <w:rPr>
          <w:rFonts w:eastAsia="Calibri" w:cstheme="minorHAnsi"/>
          <w:color w:val="212121"/>
        </w:rPr>
        <w:t xml:space="preserve">       For staff to be considered for a one-time pay, each of the following must be true:   </w:t>
      </w:r>
    </w:p>
    <w:p w14:paraId="11FFC3DA" w14:textId="61B5A931" w:rsidR="00323F58" w:rsidRPr="00D23EEE" w:rsidRDefault="00323F58" w:rsidP="3B769B9C">
      <w:pPr>
        <w:pStyle w:val="ListParagraph"/>
        <w:numPr>
          <w:ilvl w:val="0"/>
          <w:numId w:val="8"/>
        </w:numPr>
        <w:rPr>
          <w:rFonts w:eastAsiaTheme="minorEastAsia"/>
          <w:color w:val="212121"/>
        </w:rPr>
      </w:pPr>
      <w:r w:rsidRPr="3B769B9C">
        <w:rPr>
          <w:color w:val="212121"/>
        </w:rPr>
        <w:t xml:space="preserve">Have exempt employment status.  If the employee is non-exempt, as are most administrative staff, overtime is required for any time over 40 hours, therefore </w:t>
      </w:r>
      <w:r w:rsidR="42346FA1" w:rsidRPr="3B769B9C">
        <w:rPr>
          <w:color w:val="212121"/>
        </w:rPr>
        <w:t xml:space="preserve">rarely </w:t>
      </w:r>
      <w:r w:rsidRPr="3B769B9C">
        <w:rPr>
          <w:color w:val="212121"/>
        </w:rPr>
        <w:t xml:space="preserve">allowed on grant proposals.  </w:t>
      </w:r>
    </w:p>
    <w:p w14:paraId="7EF86410" w14:textId="77777777" w:rsidR="00476A55" w:rsidRPr="00D23EEE" w:rsidRDefault="00476A55" w:rsidP="00476A55">
      <w:pPr>
        <w:pStyle w:val="ListParagraph"/>
        <w:numPr>
          <w:ilvl w:val="0"/>
          <w:numId w:val="8"/>
        </w:numPr>
        <w:rPr>
          <w:rFonts w:eastAsiaTheme="minorEastAsia" w:cstheme="minorHAnsi"/>
          <w:color w:val="212121"/>
        </w:rPr>
      </w:pPr>
      <w:r w:rsidRPr="00D23EEE">
        <w:rPr>
          <w:rFonts w:cstheme="minorHAnsi"/>
          <w:color w:val="212121"/>
        </w:rPr>
        <w:t xml:space="preserve">The job is outside or above the staff member’s regular job </w:t>
      </w:r>
      <w:proofErr w:type="gramStart"/>
      <w:r w:rsidRPr="00D23EEE">
        <w:rPr>
          <w:rFonts w:cstheme="minorHAnsi"/>
          <w:color w:val="212121"/>
        </w:rPr>
        <w:t>duties</w:t>
      </w:r>
      <w:proofErr w:type="gramEnd"/>
      <w:r w:rsidRPr="00D23EEE">
        <w:rPr>
          <w:rFonts w:cstheme="minorHAnsi"/>
          <w:color w:val="212121"/>
        </w:rPr>
        <w:t xml:space="preserve"> </w:t>
      </w:r>
    </w:p>
    <w:p w14:paraId="1C094D5A" w14:textId="386407DB" w:rsidR="00323F58" w:rsidRPr="00D23EEE" w:rsidRDefault="00323F58" w:rsidP="00323F58">
      <w:pPr>
        <w:pStyle w:val="ListParagraph"/>
        <w:numPr>
          <w:ilvl w:val="0"/>
          <w:numId w:val="8"/>
        </w:numPr>
        <w:rPr>
          <w:rFonts w:eastAsiaTheme="minorEastAsia" w:cstheme="minorHAnsi"/>
          <w:color w:val="212121"/>
        </w:rPr>
      </w:pPr>
      <w:r w:rsidRPr="111AA247">
        <w:rPr>
          <w:color w:val="212121"/>
        </w:rPr>
        <w:t xml:space="preserve">ALL extra pay must be earned/performed completely outside of or in addition to the employee’s normal working hours and job </w:t>
      </w:r>
      <w:proofErr w:type="gramStart"/>
      <w:r w:rsidRPr="111AA247">
        <w:rPr>
          <w:color w:val="212121"/>
        </w:rPr>
        <w:t>duties</w:t>
      </w:r>
      <w:proofErr w:type="gramEnd"/>
    </w:p>
    <w:p w14:paraId="2BEE625F" w14:textId="77777777" w:rsidR="00323F58" w:rsidRPr="00D23EEE" w:rsidRDefault="00323F58" w:rsidP="4F6D7965">
      <w:pPr>
        <w:pStyle w:val="ListParagraph"/>
        <w:numPr>
          <w:ilvl w:val="0"/>
          <w:numId w:val="8"/>
        </w:numPr>
        <w:rPr>
          <w:rFonts w:eastAsiaTheme="minorEastAsia"/>
          <w:color w:val="212121"/>
        </w:rPr>
      </w:pPr>
      <w:r w:rsidRPr="4F6D7965">
        <w:rPr>
          <w:color w:val="212121"/>
        </w:rPr>
        <w:t xml:space="preserve">One-time pays are not entered into the budget as time/effort, but the amount of pay must be reasonably proportionate to the staff member’s pay rate and the amount of time required for the </w:t>
      </w:r>
      <w:proofErr w:type="gramStart"/>
      <w:r w:rsidRPr="4F6D7965">
        <w:rPr>
          <w:color w:val="212121"/>
        </w:rPr>
        <w:t>project</w:t>
      </w:r>
      <w:proofErr w:type="gramEnd"/>
      <w:r w:rsidRPr="4F6D7965">
        <w:rPr>
          <w:color w:val="212121"/>
        </w:rPr>
        <w:t xml:space="preserve">  </w:t>
      </w:r>
    </w:p>
    <w:p w14:paraId="69409336" w14:textId="5EB39F92" w:rsidR="4FCEAFF5" w:rsidRDefault="4FCEAFF5" w:rsidP="4F6D7965">
      <w:pPr>
        <w:pStyle w:val="ListParagraph"/>
        <w:numPr>
          <w:ilvl w:val="0"/>
          <w:numId w:val="8"/>
        </w:numPr>
        <w:rPr>
          <w:rFonts w:eastAsiaTheme="minorEastAsia"/>
          <w:color w:val="212121"/>
        </w:rPr>
      </w:pPr>
      <w:r w:rsidRPr="111AA247">
        <w:rPr>
          <w:rFonts w:eastAsiaTheme="minorEastAsia"/>
          <w:color w:val="212121"/>
        </w:rPr>
        <w:t>Fringes will be taken out of one-time pays</w:t>
      </w:r>
      <w:r w:rsidR="00476A55" w:rsidRPr="111AA247">
        <w:rPr>
          <w:rFonts w:eastAsiaTheme="minorEastAsia"/>
          <w:color w:val="212121"/>
        </w:rPr>
        <w:t xml:space="preserve"> or charged in addition to the one-time pay amount</w:t>
      </w:r>
      <w:r w:rsidRPr="111AA247">
        <w:rPr>
          <w:rFonts w:eastAsiaTheme="minorEastAsia"/>
          <w:color w:val="212121"/>
        </w:rPr>
        <w:t>.</w:t>
      </w:r>
    </w:p>
    <w:p w14:paraId="7340A808" w14:textId="337E860B" w:rsidR="00323F58" w:rsidRPr="00D23EEE" w:rsidRDefault="00323F58" w:rsidP="00323F58">
      <w:pPr>
        <w:pStyle w:val="ListParagraph"/>
        <w:numPr>
          <w:ilvl w:val="0"/>
          <w:numId w:val="8"/>
        </w:numPr>
        <w:rPr>
          <w:rFonts w:eastAsiaTheme="minorEastAsia" w:cstheme="minorHAnsi"/>
          <w:color w:val="212121"/>
        </w:rPr>
      </w:pPr>
      <w:r w:rsidRPr="111AA247">
        <w:rPr>
          <w:color w:val="212121"/>
        </w:rPr>
        <w:t xml:space="preserve">The proposal budget narrative must explain why additional pay is warranted and </w:t>
      </w:r>
      <w:r w:rsidR="007D00B7" w:rsidRPr="111AA247">
        <w:rPr>
          <w:color w:val="212121"/>
        </w:rPr>
        <w:t xml:space="preserve">includes details of the </w:t>
      </w:r>
      <w:r w:rsidR="007A6BBE" w:rsidRPr="111AA247">
        <w:rPr>
          <w:color w:val="212121"/>
        </w:rPr>
        <w:t>personnel time</w:t>
      </w:r>
      <w:r w:rsidRPr="111AA247">
        <w:rPr>
          <w:color w:val="212121"/>
        </w:rPr>
        <w:t xml:space="preserve"> and </w:t>
      </w:r>
      <w:r w:rsidR="007D00B7" w:rsidRPr="111AA247">
        <w:rPr>
          <w:color w:val="212121"/>
        </w:rPr>
        <w:t xml:space="preserve">corresponding </w:t>
      </w:r>
      <w:r w:rsidRPr="111AA247">
        <w:rPr>
          <w:color w:val="212121"/>
        </w:rPr>
        <w:t>budget</w:t>
      </w:r>
      <w:r w:rsidR="007D00B7" w:rsidRPr="111AA247">
        <w:rPr>
          <w:color w:val="212121"/>
        </w:rPr>
        <w:t xml:space="preserve"> </w:t>
      </w:r>
      <w:r w:rsidRPr="111AA247">
        <w:rPr>
          <w:color w:val="212121"/>
        </w:rPr>
        <w:t>amount</w:t>
      </w:r>
      <w:r w:rsidR="0082325F" w:rsidRPr="111AA247">
        <w:rPr>
          <w:color w:val="212121"/>
        </w:rPr>
        <w:t xml:space="preserve"> and an explanation of the exact work undertaken by the individual</w:t>
      </w:r>
      <w:r w:rsidRPr="111AA247">
        <w:rPr>
          <w:color w:val="212121"/>
        </w:rPr>
        <w:t xml:space="preserve">, </w:t>
      </w:r>
      <w:proofErr w:type="gramStart"/>
      <w:r w:rsidRPr="111AA247">
        <w:rPr>
          <w:color w:val="212121"/>
        </w:rPr>
        <w:t>similar to</w:t>
      </w:r>
      <w:proofErr w:type="gramEnd"/>
      <w:r w:rsidRPr="111AA247">
        <w:rPr>
          <w:color w:val="212121"/>
        </w:rPr>
        <w:t xml:space="preserve"> a statement of work. </w:t>
      </w:r>
    </w:p>
    <w:p w14:paraId="127B2CBA" w14:textId="320691D7" w:rsidR="00323F58" w:rsidRPr="00D23EEE" w:rsidRDefault="00323F58" w:rsidP="3B769B9C">
      <w:pPr>
        <w:pStyle w:val="ListParagraph"/>
        <w:numPr>
          <w:ilvl w:val="0"/>
          <w:numId w:val="8"/>
        </w:numPr>
        <w:rPr>
          <w:rFonts w:eastAsiaTheme="minorEastAsia"/>
          <w:color w:val="212121"/>
        </w:rPr>
      </w:pPr>
      <w:r w:rsidRPr="111AA247">
        <w:rPr>
          <w:color w:val="212121"/>
        </w:rPr>
        <w:lastRenderedPageBreak/>
        <w:t xml:space="preserve">One-time pays may </w:t>
      </w:r>
      <w:proofErr w:type="gramStart"/>
      <w:r w:rsidRPr="111AA247">
        <w:rPr>
          <w:color w:val="212121"/>
        </w:rPr>
        <w:t>actually be</w:t>
      </w:r>
      <w:proofErr w:type="gramEnd"/>
      <w:r w:rsidRPr="111AA247">
        <w:rPr>
          <w:color w:val="212121"/>
        </w:rPr>
        <w:t xml:space="preserve"> broken out into more than one payment, depending on the project</w:t>
      </w:r>
      <w:r w:rsidR="489B0605" w:rsidRPr="111AA247">
        <w:rPr>
          <w:color w:val="212121"/>
        </w:rPr>
        <w:t xml:space="preserve"> needs.</w:t>
      </w:r>
    </w:p>
    <w:p w14:paraId="3EFA4057" w14:textId="6B874228" w:rsidR="009519FB" w:rsidRPr="00D23EEE" w:rsidRDefault="009519FB" w:rsidP="00323F58">
      <w:pPr>
        <w:rPr>
          <w:rFonts w:cstheme="minorHAnsi"/>
          <w:b/>
          <w:i/>
          <w:iCs/>
        </w:rPr>
      </w:pPr>
      <w:r w:rsidRPr="00D23EEE">
        <w:rPr>
          <w:rFonts w:cstheme="minorHAnsi"/>
          <w:b/>
          <w:i/>
          <w:iCs/>
        </w:rPr>
        <w:t>Students</w:t>
      </w:r>
    </w:p>
    <w:p w14:paraId="1A6F8BC0" w14:textId="218329E4" w:rsidR="00323F58" w:rsidRPr="00D23EEE" w:rsidRDefault="00323F58" w:rsidP="00323F58">
      <w:pPr>
        <w:rPr>
          <w:rFonts w:cstheme="minorHAnsi"/>
          <w:bCs/>
          <w:u w:val="single"/>
        </w:rPr>
      </w:pPr>
      <w:r w:rsidRPr="00D23EEE">
        <w:rPr>
          <w:rFonts w:cstheme="minorHAnsi"/>
          <w:bCs/>
        </w:rPr>
        <w:t xml:space="preserve">Graduate and undergraduate student salaries and fringes are calculated </w:t>
      </w:r>
      <w:proofErr w:type="gramStart"/>
      <w:r w:rsidRPr="00D23EEE">
        <w:rPr>
          <w:rFonts w:cstheme="minorHAnsi"/>
          <w:bCs/>
        </w:rPr>
        <w:t>differently,</w:t>
      </w:r>
      <w:proofErr w:type="gramEnd"/>
      <w:r w:rsidRPr="00D23EEE">
        <w:rPr>
          <w:rFonts w:cstheme="minorHAnsi"/>
          <w:bCs/>
        </w:rPr>
        <w:t xml:space="preserve"> therefore, the type of student must be determined.</w:t>
      </w:r>
    </w:p>
    <w:p w14:paraId="1844B33C" w14:textId="0DA1F780" w:rsidR="00323F58" w:rsidRPr="00D23EEE" w:rsidRDefault="00323F58" w:rsidP="00323F58">
      <w:pPr>
        <w:rPr>
          <w:rFonts w:cstheme="minorHAnsi"/>
          <w:bCs/>
          <w:u w:val="single"/>
        </w:rPr>
      </w:pPr>
      <w:r w:rsidRPr="00D23EEE">
        <w:rPr>
          <w:rFonts w:cstheme="minorHAnsi"/>
          <w:bCs/>
          <w:u w:val="single"/>
        </w:rPr>
        <w:t>Graduate Students</w:t>
      </w:r>
    </w:p>
    <w:p w14:paraId="1E9CB9C6" w14:textId="159A513C" w:rsidR="00323F58" w:rsidRPr="00D23EEE" w:rsidRDefault="00323F58" w:rsidP="00323F58">
      <w:pPr>
        <w:pStyle w:val="ListParagraph"/>
        <w:numPr>
          <w:ilvl w:val="0"/>
          <w:numId w:val="10"/>
        </w:numPr>
        <w:rPr>
          <w:rFonts w:cstheme="minorHAnsi"/>
        </w:rPr>
      </w:pPr>
      <w:r w:rsidRPr="00D23EEE">
        <w:rPr>
          <w:rFonts w:cstheme="minorHAnsi"/>
        </w:rPr>
        <w:t>Pay rates vary</w:t>
      </w:r>
      <w:r w:rsidR="0098517F">
        <w:rPr>
          <w:rFonts w:cstheme="minorHAnsi"/>
        </w:rPr>
        <w:t xml:space="preserve"> by</w:t>
      </w:r>
      <w:r w:rsidRPr="00D23EEE">
        <w:rPr>
          <w:rFonts w:cstheme="minorHAnsi"/>
        </w:rPr>
        <w:t xml:space="preserve"> </w:t>
      </w:r>
      <w:r w:rsidR="00130649">
        <w:rPr>
          <w:rFonts w:cstheme="minorHAnsi"/>
        </w:rPr>
        <w:t>student role</w:t>
      </w:r>
      <w:r w:rsidR="00E54F83" w:rsidRPr="00D23EEE">
        <w:rPr>
          <w:rFonts w:cstheme="minorHAnsi"/>
        </w:rPr>
        <w:t xml:space="preserve"> </w:t>
      </w:r>
      <w:r w:rsidRPr="00D23EEE">
        <w:rPr>
          <w:rFonts w:cstheme="minorHAnsi"/>
        </w:rPr>
        <w:t>and</w:t>
      </w:r>
      <w:r w:rsidR="00695712">
        <w:rPr>
          <w:rFonts w:cstheme="minorHAnsi"/>
        </w:rPr>
        <w:t>/or</w:t>
      </w:r>
      <w:r w:rsidRPr="00D23EEE">
        <w:rPr>
          <w:rFonts w:cstheme="minorHAnsi"/>
        </w:rPr>
        <w:t xml:space="preserve"> college/department.  Most will be paid at a </w:t>
      </w:r>
      <w:r w:rsidR="00130649">
        <w:rPr>
          <w:rFonts w:cstheme="minorHAnsi"/>
        </w:rPr>
        <w:t>full-time rate</w:t>
      </w:r>
      <w:r w:rsidRPr="00D23EEE">
        <w:rPr>
          <w:rFonts w:cstheme="minorHAnsi"/>
        </w:rPr>
        <w:t xml:space="preserve"> of $2100 - $3200 per month, however grad students can only work up to 20 hours (50% effort) per week, therefore they can only earn 50% of the pay rate.</w:t>
      </w:r>
    </w:p>
    <w:p w14:paraId="7D8FA483" w14:textId="5C2B30B4" w:rsidR="00323F58" w:rsidRPr="00D23EEE" w:rsidRDefault="00323F58" w:rsidP="00323F58">
      <w:pPr>
        <w:pStyle w:val="ListParagraph"/>
        <w:numPr>
          <w:ilvl w:val="0"/>
          <w:numId w:val="10"/>
        </w:numPr>
        <w:rPr>
          <w:rFonts w:cstheme="minorHAnsi"/>
          <w:bCs/>
        </w:rPr>
      </w:pPr>
      <w:r w:rsidRPr="00D23EEE">
        <w:rPr>
          <w:rFonts w:cstheme="minorHAnsi"/>
          <w:bCs/>
        </w:rPr>
        <w:t>Other pay plans exist (</w:t>
      </w:r>
      <w:proofErr w:type="gramStart"/>
      <w:r w:rsidRPr="00D23EEE">
        <w:rPr>
          <w:rFonts w:cstheme="minorHAnsi"/>
          <w:bCs/>
        </w:rPr>
        <w:t>e.g.</w:t>
      </w:r>
      <w:proofErr w:type="gramEnd"/>
      <w:r w:rsidRPr="00D23EEE">
        <w:rPr>
          <w:rFonts w:cstheme="minorHAnsi"/>
          <w:bCs/>
        </w:rPr>
        <w:t xml:space="preserve"> pre- and </w:t>
      </w:r>
      <w:r w:rsidR="00A10A60" w:rsidRPr="00D23EEE">
        <w:rPr>
          <w:rFonts w:cstheme="minorHAnsi"/>
          <w:bCs/>
        </w:rPr>
        <w:t>post-doctoral</w:t>
      </w:r>
      <w:r w:rsidRPr="00D23EEE">
        <w:rPr>
          <w:rFonts w:cstheme="minorHAnsi"/>
          <w:bCs/>
        </w:rPr>
        <w:t xml:space="preserve"> students, visiting scientists, etc.)</w:t>
      </w:r>
    </w:p>
    <w:p w14:paraId="4ADBC919" w14:textId="56E8A249" w:rsidR="00323F58" w:rsidRPr="00D23EEE" w:rsidRDefault="00323F58" w:rsidP="00323F58">
      <w:pPr>
        <w:pStyle w:val="ListParagraph"/>
        <w:numPr>
          <w:ilvl w:val="0"/>
          <w:numId w:val="10"/>
        </w:numPr>
        <w:rPr>
          <w:rFonts w:cstheme="minorHAnsi"/>
          <w:bCs/>
        </w:rPr>
      </w:pPr>
      <w:r w:rsidRPr="00D23EEE">
        <w:rPr>
          <w:rFonts w:cstheme="minorHAnsi"/>
          <w:bCs/>
        </w:rPr>
        <w:t xml:space="preserve">Grad students are paid by </w:t>
      </w:r>
      <w:r w:rsidR="00A10A60">
        <w:rPr>
          <w:rFonts w:cstheme="minorHAnsi"/>
          <w:bCs/>
        </w:rPr>
        <w:t xml:space="preserve">a percentage of </w:t>
      </w:r>
      <w:r w:rsidRPr="00D23EEE">
        <w:rPr>
          <w:rFonts w:cstheme="minorHAnsi"/>
          <w:bCs/>
        </w:rPr>
        <w:t xml:space="preserve">time and effort, never by an hourly </w:t>
      </w:r>
      <w:proofErr w:type="gramStart"/>
      <w:r w:rsidRPr="00D23EEE">
        <w:rPr>
          <w:rFonts w:cstheme="minorHAnsi"/>
          <w:bCs/>
        </w:rPr>
        <w:t>rate</w:t>
      </w:r>
      <w:proofErr w:type="gramEnd"/>
    </w:p>
    <w:p w14:paraId="6CBE9D18" w14:textId="66AAA250" w:rsidR="00323F58" w:rsidRPr="00D23EEE" w:rsidRDefault="00323F58" w:rsidP="00323F58">
      <w:pPr>
        <w:pStyle w:val="ListParagraph"/>
        <w:numPr>
          <w:ilvl w:val="0"/>
          <w:numId w:val="10"/>
        </w:numPr>
        <w:rPr>
          <w:rFonts w:cstheme="minorHAnsi"/>
          <w:bCs/>
        </w:rPr>
      </w:pPr>
      <w:r w:rsidRPr="00D23EEE">
        <w:rPr>
          <w:rFonts w:cstheme="minorHAnsi"/>
          <w:bCs/>
        </w:rPr>
        <w:t>Human Resources will reject unreasonable pay rates</w:t>
      </w:r>
      <w:r w:rsidR="0098517F">
        <w:rPr>
          <w:rFonts w:cstheme="minorHAnsi"/>
          <w:bCs/>
        </w:rPr>
        <w:t xml:space="preserve"> based on campus-wide </w:t>
      </w:r>
      <w:proofErr w:type="gramStart"/>
      <w:r w:rsidR="0098517F">
        <w:rPr>
          <w:rFonts w:cstheme="minorHAnsi"/>
          <w:bCs/>
        </w:rPr>
        <w:t>equity</w:t>
      </w:r>
      <w:proofErr w:type="gramEnd"/>
    </w:p>
    <w:p w14:paraId="679D99D4" w14:textId="7E0A9688" w:rsidR="00323F58" w:rsidRPr="00D23EEE" w:rsidRDefault="00323F58" w:rsidP="3B769B9C">
      <w:pPr>
        <w:pStyle w:val="ListParagraph"/>
        <w:numPr>
          <w:ilvl w:val="0"/>
          <w:numId w:val="10"/>
        </w:numPr>
      </w:pPr>
      <w:r w:rsidRPr="3B769B9C">
        <w:t>Graduate students cannot work more than 20 hours/week</w:t>
      </w:r>
      <w:r w:rsidR="33353F5E" w:rsidRPr="3B769B9C">
        <w:t xml:space="preserve"> (50% effort)</w:t>
      </w:r>
      <w:r w:rsidRPr="3B769B9C">
        <w:t>, without specific approval.</w:t>
      </w:r>
    </w:p>
    <w:p w14:paraId="3F57998E" w14:textId="7A815DD9" w:rsidR="45E4D068" w:rsidRDefault="45E4D068" w:rsidP="3B769B9C">
      <w:pPr>
        <w:pStyle w:val="ListParagraph"/>
        <w:numPr>
          <w:ilvl w:val="0"/>
          <w:numId w:val="10"/>
        </w:numPr>
      </w:pPr>
      <w:r w:rsidRPr="3B769B9C">
        <w:t>Additional time may be allowable during summer, but each case must be evaluated and approved</w:t>
      </w:r>
      <w:r w:rsidR="0098517F">
        <w:t xml:space="preserve"> </w:t>
      </w:r>
      <w:proofErr w:type="gramStart"/>
      <w:r w:rsidR="0098517F">
        <w:t>individually</w:t>
      </w:r>
      <w:proofErr w:type="gramEnd"/>
    </w:p>
    <w:p w14:paraId="26B72CAF" w14:textId="77777777" w:rsidR="00F52B57" w:rsidRPr="00D23EEE" w:rsidRDefault="00F52B57" w:rsidP="00F52B57">
      <w:pPr>
        <w:rPr>
          <w:rFonts w:cstheme="minorHAnsi"/>
          <w:bCs/>
          <w:u w:val="single"/>
        </w:rPr>
      </w:pPr>
      <w:r w:rsidRPr="00D23EEE">
        <w:rPr>
          <w:rFonts w:cstheme="minorHAnsi"/>
          <w:bCs/>
          <w:u w:val="single"/>
        </w:rPr>
        <w:t xml:space="preserve">Undergraduate Students </w:t>
      </w:r>
    </w:p>
    <w:p w14:paraId="5C39ED2B" w14:textId="65C58A3C" w:rsidR="00F52B57" w:rsidRPr="00D23EEE" w:rsidRDefault="00F52B57" w:rsidP="00F52B57">
      <w:pPr>
        <w:pStyle w:val="ListParagraph"/>
        <w:numPr>
          <w:ilvl w:val="0"/>
          <w:numId w:val="10"/>
        </w:numPr>
        <w:rPr>
          <w:rFonts w:cstheme="minorHAnsi"/>
        </w:rPr>
      </w:pPr>
      <w:r w:rsidRPr="00D23EEE">
        <w:rPr>
          <w:rFonts w:cstheme="minorHAnsi"/>
        </w:rPr>
        <w:t>Pay rates vary by</w:t>
      </w:r>
      <w:r w:rsidRPr="00695712">
        <w:rPr>
          <w:rFonts w:cstheme="minorHAnsi"/>
        </w:rPr>
        <w:t xml:space="preserve"> </w:t>
      </w:r>
      <w:r w:rsidR="0098517F">
        <w:rPr>
          <w:rFonts w:cstheme="minorHAnsi"/>
        </w:rPr>
        <w:t>student role</w:t>
      </w:r>
      <w:r w:rsidRPr="00D23EEE">
        <w:rPr>
          <w:rFonts w:cstheme="minorHAnsi"/>
        </w:rPr>
        <w:t xml:space="preserve"> and/or college/department, but most will be paid in the $8.00 - $12.00 per hour </w:t>
      </w:r>
      <w:proofErr w:type="gramStart"/>
      <w:r w:rsidRPr="00D23EEE">
        <w:rPr>
          <w:rFonts w:cstheme="minorHAnsi"/>
        </w:rPr>
        <w:t>range</w:t>
      </w:r>
      <w:proofErr w:type="gramEnd"/>
    </w:p>
    <w:p w14:paraId="354C8248" w14:textId="190A70B2" w:rsidR="00F52B57" w:rsidRPr="00D23EEE" w:rsidRDefault="00F52B57" w:rsidP="00F52B57">
      <w:pPr>
        <w:pStyle w:val="ListParagraph"/>
        <w:numPr>
          <w:ilvl w:val="0"/>
          <w:numId w:val="10"/>
        </w:numPr>
      </w:pPr>
      <w:r w:rsidRPr="3B769B9C">
        <w:t xml:space="preserve">Human Resources will reject unreasonable pay rates based on campus-wide </w:t>
      </w:r>
      <w:proofErr w:type="gramStart"/>
      <w:r w:rsidRPr="3B769B9C">
        <w:t>equity</w:t>
      </w:r>
      <w:proofErr w:type="gramEnd"/>
    </w:p>
    <w:p w14:paraId="532EE111" w14:textId="77777777" w:rsidR="00F52B57" w:rsidRPr="00D23EEE" w:rsidRDefault="00F52B57" w:rsidP="00F52B57">
      <w:pPr>
        <w:pStyle w:val="ListParagraph"/>
        <w:numPr>
          <w:ilvl w:val="0"/>
          <w:numId w:val="10"/>
        </w:numPr>
        <w:rPr>
          <w:rFonts w:cstheme="minorHAnsi"/>
        </w:rPr>
      </w:pPr>
      <w:r w:rsidRPr="00D23EEE">
        <w:rPr>
          <w:rFonts w:cstheme="minorHAnsi"/>
        </w:rPr>
        <w:t>Undergrads cannot regularly work more than 28 hours/</w:t>
      </w:r>
      <w:proofErr w:type="gramStart"/>
      <w:r w:rsidRPr="00D23EEE">
        <w:rPr>
          <w:rFonts w:cstheme="minorHAnsi"/>
        </w:rPr>
        <w:t>week</w:t>
      </w:r>
      <w:proofErr w:type="gramEnd"/>
    </w:p>
    <w:p w14:paraId="670B9700" w14:textId="77777777" w:rsidR="00F52B57" w:rsidRDefault="00F52B57" w:rsidP="00943372">
      <w:pPr>
        <w:spacing w:after="0"/>
        <w:rPr>
          <w:rFonts w:cstheme="minorHAnsi"/>
          <w:b/>
          <w:smallCaps/>
          <w:u w:val="single"/>
        </w:rPr>
      </w:pPr>
    </w:p>
    <w:p w14:paraId="51F239AE" w14:textId="5E225B0B" w:rsidR="00943372" w:rsidRDefault="00D23EEE" w:rsidP="00943372">
      <w:pPr>
        <w:spacing w:after="0"/>
        <w:rPr>
          <w:rFonts w:cstheme="minorHAnsi"/>
          <w:b/>
          <w:smallCaps/>
          <w:u w:val="single"/>
        </w:rPr>
      </w:pPr>
      <w:r w:rsidRPr="00D23EEE">
        <w:rPr>
          <w:rFonts w:cstheme="minorHAnsi"/>
          <w:b/>
          <w:smallCaps/>
          <w:u w:val="single"/>
        </w:rPr>
        <w:t>Calculation of Fringe Benefits</w:t>
      </w:r>
    </w:p>
    <w:p w14:paraId="125A5934" w14:textId="35A3F88E" w:rsidR="00323F58" w:rsidRPr="00D23EEE" w:rsidRDefault="00323F58" w:rsidP="00943372">
      <w:pPr>
        <w:spacing w:after="0"/>
        <w:rPr>
          <w:rFonts w:cstheme="minorHAnsi"/>
          <w:bCs/>
        </w:rPr>
      </w:pPr>
      <w:r w:rsidRPr="00D23EEE">
        <w:rPr>
          <w:rFonts w:cstheme="minorHAnsi"/>
          <w:bCs/>
        </w:rPr>
        <w:t xml:space="preserve">Fringe benefits are direct costs to a sponsored project and are budgeted based on the amount of salary requested.  </w:t>
      </w:r>
      <w:r w:rsidR="001526E9">
        <w:rPr>
          <w:rFonts w:cstheme="minorHAnsi"/>
          <w:bCs/>
        </w:rPr>
        <w:t>Estimated rates are</w:t>
      </w:r>
      <w:r w:rsidRPr="00D23EEE">
        <w:rPr>
          <w:rFonts w:cstheme="minorHAnsi"/>
          <w:bCs/>
        </w:rPr>
        <w:t xml:space="preserve"> established for each job type, but the actual amounts will vary by </w:t>
      </w:r>
      <w:r w:rsidR="007F5EEE">
        <w:rPr>
          <w:rFonts w:cstheme="minorHAnsi"/>
          <w:bCs/>
        </w:rPr>
        <w:t>individual,</w:t>
      </w:r>
      <w:r w:rsidRPr="00D23EEE">
        <w:rPr>
          <w:rFonts w:cstheme="minorHAnsi"/>
          <w:bCs/>
        </w:rPr>
        <w:t xml:space="preserve"> type of employee</w:t>
      </w:r>
      <w:r w:rsidR="007F5EEE">
        <w:rPr>
          <w:rFonts w:cstheme="minorHAnsi"/>
          <w:bCs/>
        </w:rPr>
        <w:t>, and benefits package selected</w:t>
      </w:r>
      <w:r w:rsidRPr="00D23EEE">
        <w:rPr>
          <w:rFonts w:cstheme="minorHAnsi"/>
          <w:bCs/>
        </w:rPr>
        <w:t xml:space="preserve">.  After an award is received, </w:t>
      </w:r>
      <w:r w:rsidR="001526E9">
        <w:rPr>
          <w:rFonts w:cstheme="minorHAnsi"/>
          <w:bCs/>
        </w:rPr>
        <w:t xml:space="preserve">only </w:t>
      </w:r>
      <w:r w:rsidRPr="00D23EEE">
        <w:rPr>
          <w:rFonts w:cstheme="minorHAnsi"/>
          <w:bCs/>
        </w:rPr>
        <w:t>actual costs are billed to the grant.</w:t>
      </w:r>
    </w:p>
    <w:p w14:paraId="1AFB9316" w14:textId="77777777" w:rsidR="007F5EEE" w:rsidRDefault="007F5EEE" w:rsidP="3B769B9C">
      <w:pPr>
        <w:rPr>
          <w:i/>
          <w:iCs/>
          <w:u w:val="single"/>
        </w:rPr>
      </w:pPr>
    </w:p>
    <w:p w14:paraId="2F1CE8CC" w14:textId="6E833D2B" w:rsidR="00323F58" w:rsidRPr="00D23EEE" w:rsidRDefault="00323F58" w:rsidP="3B769B9C">
      <w:r w:rsidRPr="3B769B9C">
        <w:rPr>
          <w:i/>
          <w:iCs/>
          <w:u w:val="single"/>
        </w:rPr>
        <w:t xml:space="preserve">Note: ALL forms of payment for time/effort to ANY university employed person </w:t>
      </w:r>
      <w:r w:rsidR="007F5EEE">
        <w:rPr>
          <w:i/>
          <w:iCs/>
          <w:u w:val="single"/>
        </w:rPr>
        <w:t>are subject to</w:t>
      </w:r>
      <w:r w:rsidRPr="3B769B9C">
        <w:rPr>
          <w:i/>
          <w:iCs/>
          <w:u w:val="single"/>
        </w:rPr>
        <w:t xml:space="preserve"> fringe benefits.</w:t>
      </w:r>
      <w:r w:rsidRPr="3B769B9C">
        <w:t xml:space="preserve">  This includes one-time pays, stipends, </w:t>
      </w:r>
      <w:r w:rsidR="25374301" w:rsidRPr="3B769B9C">
        <w:t xml:space="preserve">student pay, </w:t>
      </w:r>
      <w:r w:rsidRPr="3B769B9C">
        <w:t>etc.</w:t>
      </w:r>
    </w:p>
    <w:p w14:paraId="5AEB0F8D" w14:textId="77777777" w:rsidR="00943372" w:rsidRDefault="00943372" w:rsidP="009519FB">
      <w:pPr>
        <w:ind w:firstLine="720"/>
        <w:rPr>
          <w:rFonts w:cstheme="minorHAnsi"/>
          <w:b/>
          <w:i/>
          <w:iCs/>
        </w:rPr>
      </w:pPr>
    </w:p>
    <w:p w14:paraId="031BA9D6" w14:textId="4590B135" w:rsidR="00323F58" w:rsidRPr="00D23EEE" w:rsidRDefault="009519FB" w:rsidP="009519FB">
      <w:pPr>
        <w:ind w:firstLine="720"/>
        <w:rPr>
          <w:rFonts w:cstheme="minorHAnsi"/>
          <w:b/>
          <w:i/>
          <w:iCs/>
        </w:rPr>
      </w:pPr>
      <w:r w:rsidRPr="00D23EEE">
        <w:rPr>
          <w:rFonts w:cstheme="minorHAnsi"/>
          <w:b/>
          <w:i/>
          <w:iCs/>
        </w:rPr>
        <w:t>Faculty and Staff Fringe Breakdown</w:t>
      </w:r>
    </w:p>
    <w:p w14:paraId="574F3468" w14:textId="148FF483" w:rsidR="00323F58" w:rsidRPr="00D23EEE" w:rsidRDefault="00422330" w:rsidP="009519FB">
      <w:pPr>
        <w:pStyle w:val="ListParagraph"/>
        <w:numPr>
          <w:ilvl w:val="0"/>
          <w:numId w:val="11"/>
        </w:numPr>
        <w:ind w:left="1440"/>
        <w:rPr>
          <w:rFonts w:cstheme="minorHAnsi"/>
          <w:bCs/>
        </w:rPr>
      </w:pPr>
      <w:r>
        <w:rPr>
          <w:rFonts w:cstheme="minorHAnsi"/>
          <w:bCs/>
        </w:rPr>
        <w:t xml:space="preserve">Fringe is </w:t>
      </w:r>
      <w:r w:rsidR="00553D73">
        <w:rPr>
          <w:rFonts w:cstheme="minorHAnsi"/>
          <w:bCs/>
        </w:rPr>
        <w:t xml:space="preserve">currently </w:t>
      </w:r>
      <w:r>
        <w:rPr>
          <w:rFonts w:cstheme="minorHAnsi"/>
          <w:bCs/>
        </w:rPr>
        <w:t>budgeted at</w:t>
      </w:r>
      <w:r w:rsidR="00323F58" w:rsidRPr="00D23EEE">
        <w:rPr>
          <w:rFonts w:cstheme="minorHAnsi"/>
          <w:bCs/>
        </w:rPr>
        <w:t xml:space="preserve"> 32.4% of salary requested</w:t>
      </w:r>
      <w:r w:rsidR="009519FB" w:rsidRPr="00D23EEE">
        <w:rPr>
          <w:rFonts w:cstheme="minorHAnsi"/>
          <w:bCs/>
        </w:rPr>
        <w:t xml:space="preserve"> (Table below)</w:t>
      </w:r>
    </w:p>
    <w:tbl>
      <w:tblPr>
        <w:tblW w:w="8447" w:type="dxa"/>
        <w:jc w:val="right"/>
        <w:tblLook w:val="04A0" w:firstRow="1" w:lastRow="0" w:firstColumn="1" w:lastColumn="0" w:noHBand="0" w:noVBand="1"/>
      </w:tblPr>
      <w:tblGrid>
        <w:gridCol w:w="3585"/>
        <w:gridCol w:w="942"/>
        <w:gridCol w:w="960"/>
        <w:gridCol w:w="960"/>
        <w:gridCol w:w="2000"/>
      </w:tblGrid>
      <w:tr w:rsidR="00323F58" w:rsidRPr="00D23EEE" w14:paraId="46B8382A" w14:textId="77777777" w:rsidTr="009519FB">
        <w:trPr>
          <w:trHeight w:val="315"/>
          <w:jc w:val="right"/>
        </w:trPr>
        <w:tc>
          <w:tcPr>
            <w:tcW w:w="3585" w:type="dxa"/>
            <w:tcBorders>
              <w:top w:val="nil"/>
              <w:left w:val="nil"/>
              <w:bottom w:val="nil"/>
              <w:right w:val="nil"/>
            </w:tcBorders>
            <w:shd w:val="clear" w:color="auto" w:fill="auto"/>
            <w:noWrap/>
            <w:vAlign w:val="bottom"/>
            <w:hideMark/>
          </w:tcPr>
          <w:p w14:paraId="28D5B50A" w14:textId="4D1B9CA0" w:rsidR="00323F58" w:rsidRPr="00D23EEE" w:rsidRDefault="00323F58">
            <w:pPr>
              <w:spacing w:after="0" w:line="240" w:lineRule="auto"/>
              <w:rPr>
                <w:rFonts w:eastAsia="Times New Roman" w:cstheme="minorHAnsi"/>
                <w:bCs/>
                <w:color w:val="000000"/>
                <w:u w:val="single"/>
              </w:rPr>
            </w:pPr>
          </w:p>
        </w:tc>
        <w:tc>
          <w:tcPr>
            <w:tcW w:w="942" w:type="dxa"/>
            <w:tcBorders>
              <w:top w:val="nil"/>
              <w:left w:val="nil"/>
              <w:bottom w:val="nil"/>
              <w:right w:val="nil"/>
            </w:tcBorders>
            <w:shd w:val="clear" w:color="auto" w:fill="auto"/>
            <w:noWrap/>
            <w:vAlign w:val="bottom"/>
            <w:hideMark/>
          </w:tcPr>
          <w:p w14:paraId="298EFB61" w14:textId="77777777" w:rsidR="00323F58" w:rsidRPr="00D23EEE" w:rsidRDefault="00323F58">
            <w:pPr>
              <w:spacing w:after="0" w:line="240" w:lineRule="auto"/>
              <w:rPr>
                <w:rFonts w:eastAsia="Times New Roman" w:cstheme="minorHAnsi"/>
                <w:b/>
                <w:bCs/>
                <w:color w:val="000000"/>
                <w:u w:val="single"/>
              </w:rPr>
            </w:pPr>
          </w:p>
        </w:tc>
        <w:tc>
          <w:tcPr>
            <w:tcW w:w="960" w:type="dxa"/>
            <w:tcBorders>
              <w:top w:val="nil"/>
              <w:left w:val="nil"/>
              <w:bottom w:val="nil"/>
              <w:right w:val="nil"/>
            </w:tcBorders>
            <w:shd w:val="clear" w:color="auto" w:fill="auto"/>
            <w:noWrap/>
            <w:vAlign w:val="bottom"/>
            <w:hideMark/>
          </w:tcPr>
          <w:p w14:paraId="6D4E7B4C" w14:textId="77777777" w:rsidR="00323F58" w:rsidRPr="00D23EEE" w:rsidRDefault="00323F58">
            <w:pPr>
              <w:spacing w:after="0" w:line="240" w:lineRule="auto"/>
              <w:rPr>
                <w:rFonts w:eastAsia="Times New Roman" w:cstheme="minorHAnsi"/>
              </w:rPr>
            </w:pPr>
          </w:p>
        </w:tc>
        <w:tc>
          <w:tcPr>
            <w:tcW w:w="960" w:type="dxa"/>
            <w:tcBorders>
              <w:top w:val="nil"/>
              <w:left w:val="nil"/>
              <w:bottom w:val="nil"/>
              <w:right w:val="nil"/>
            </w:tcBorders>
            <w:shd w:val="clear" w:color="auto" w:fill="auto"/>
            <w:noWrap/>
            <w:vAlign w:val="bottom"/>
            <w:hideMark/>
          </w:tcPr>
          <w:p w14:paraId="76DD0240" w14:textId="77777777" w:rsidR="00323F58" w:rsidRPr="00D23EEE" w:rsidRDefault="00323F58">
            <w:pPr>
              <w:spacing w:after="0" w:line="240" w:lineRule="auto"/>
              <w:rPr>
                <w:rFonts w:eastAsia="Times New Roman" w:cstheme="minorHAnsi"/>
              </w:rPr>
            </w:pPr>
          </w:p>
        </w:tc>
        <w:tc>
          <w:tcPr>
            <w:tcW w:w="2000" w:type="dxa"/>
            <w:tcBorders>
              <w:top w:val="nil"/>
              <w:left w:val="nil"/>
              <w:bottom w:val="nil"/>
              <w:right w:val="nil"/>
            </w:tcBorders>
            <w:shd w:val="clear" w:color="auto" w:fill="auto"/>
            <w:noWrap/>
            <w:vAlign w:val="bottom"/>
            <w:hideMark/>
          </w:tcPr>
          <w:p w14:paraId="17AC43F8" w14:textId="77777777" w:rsidR="00323F58" w:rsidRPr="00D23EEE" w:rsidRDefault="00323F58">
            <w:pPr>
              <w:spacing w:after="0" w:line="240" w:lineRule="auto"/>
              <w:rPr>
                <w:rFonts w:eastAsia="Times New Roman" w:cstheme="minorHAnsi"/>
              </w:rPr>
            </w:pPr>
          </w:p>
        </w:tc>
      </w:tr>
      <w:tr w:rsidR="00323F58" w:rsidRPr="00D23EEE" w14:paraId="7A47B1C9" w14:textId="77777777" w:rsidTr="009519FB">
        <w:trPr>
          <w:trHeight w:val="315"/>
          <w:jc w:val="right"/>
        </w:trPr>
        <w:tc>
          <w:tcPr>
            <w:tcW w:w="3585" w:type="dxa"/>
            <w:tcBorders>
              <w:top w:val="nil"/>
              <w:left w:val="nil"/>
              <w:bottom w:val="nil"/>
              <w:right w:val="nil"/>
            </w:tcBorders>
            <w:shd w:val="clear" w:color="auto" w:fill="auto"/>
            <w:noWrap/>
            <w:vAlign w:val="bottom"/>
            <w:hideMark/>
          </w:tcPr>
          <w:p w14:paraId="244F9081" w14:textId="3BCE95CE" w:rsidR="00323F58" w:rsidRPr="00D23EEE" w:rsidRDefault="00323F58">
            <w:pPr>
              <w:spacing w:after="0" w:line="240" w:lineRule="auto"/>
              <w:rPr>
                <w:rFonts w:eastAsia="Times New Roman" w:cstheme="minorHAnsi"/>
                <w:color w:val="000000"/>
              </w:rPr>
            </w:pPr>
            <w:r w:rsidRPr="00D23EEE">
              <w:rPr>
                <w:rFonts w:eastAsia="Times New Roman" w:cstheme="minorHAnsi"/>
                <w:color w:val="000000"/>
              </w:rPr>
              <w:t xml:space="preserve">FICA (Social </w:t>
            </w:r>
            <w:r w:rsidR="002A6B7C">
              <w:rPr>
                <w:rFonts w:eastAsia="Times New Roman" w:cstheme="minorHAnsi"/>
                <w:color w:val="000000"/>
              </w:rPr>
              <w:t>S</w:t>
            </w:r>
            <w:r w:rsidRPr="00D23EEE">
              <w:rPr>
                <w:rFonts w:eastAsia="Times New Roman" w:cstheme="minorHAnsi"/>
                <w:color w:val="000000"/>
              </w:rPr>
              <w:t>ecurity)</w:t>
            </w:r>
          </w:p>
        </w:tc>
        <w:tc>
          <w:tcPr>
            <w:tcW w:w="942" w:type="dxa"/>
            <w:tcBorders>
              <w:top w:val="nil"/>
              <w:left w:val="nil"/>
              <w:bottom w:val="nil"/>
              <w:right w:val="nil"/>
            </w:tcBorders>
            <w:shd w:val="clear" w:color="auto" w:fill="auto"/>
            <w:noWrap/>
            <w:vAlign w:val="bottom"/>
            <w:hideMark/>
          </w:tcPr>
          <w:p w14:paraId="1B677843" w14:textId="77777777" w:rsidR="00323F58" w:rsidRPr="00D23EEE" w:rsidRDefault="00323F58">
            <w:pPr>
              <w:spacing w:after="0" w:line="240" w:lineRule="auto"/>
              <w:jc w:val="right"/>
              <w:rPr>
                <w:rFonts w:eastAsia="Times New Roman" w:cstheme="minorHAnsi"/>
                <w:color w:val="000000"/>
              </w:rPr>
            </w:pPr>
            <w:r w:rsidRPr="00D23EEE">
              <w:rPr>
                <w:rFonts w:eastAsia="Times New Roman" w:cstheme="minorHAnsi"/>
                <w:color w:val="000000"/>
              </w:rPr>
              <w:t>6.20%</w:t>
            </w:r>
          </w:p>
        </w:tc>
        <w:tc>
          <w:tcPr>
            <w:tcW w:w="960" w:type="dxa"/>
            <w:tcBorders>
              <w:top w:val="nil"/>
              <w:left w:val="nil"/>
              <w:bottom w:val="nil"/>
              <w:right w:val="nil"/>
            </w:tcBorders>
            <w:shd w:val="clear" w:color="auto" w:fill="auto"/>
            <w:noWrap/>
            <w:vAlign w:val="bottom"/>
            <w:hideMark/>
          </w:tcPr>
          <w:p w14:paraId="6B7D5C2F" w14:textId="77777777" w:rsidR="00323F58" w:rsidRPr="00D23EEE" w:rsidRDefault="00323F58">
            <w:pPr>
              <w:spacing w:after="0" w:line="240" w:lineRule="auto"/>
              <w:jc w:val="right"/>
              <w:rPr>
                <w:rFonts w:eastAsia="Times New Roman" w:cstheme="minorHAnsi"/>
                <w:color w:val="000000"/>
              </w:rPr>
            </w:pPr>
          </w:p>
        </w:tc>
        <w:tc>
          <w:tcPr>
            <w:tcW w:w="960" w:type="dxa"/>
            <w:tcBorders>
              <w:top w:val="nil"/>
              <w:left w:val="nil"/>
              <w:bottom w:val="nil"/>
              <w:right w:val="nil"/>
            </w:tcBorders>
            <w:shd w:val="clear" w:color="auto" w:fill="auto"/>
            <w:noWrap/>
            <w:vAlign w:val="bottom"/>
            <w:hideMark/>
          </w:tcPr>
          <w:p w14:paraId="4346599B" w14:textId="77777777" w:rsidR="00323F58" w:rsidRPr="00D23EEE" w:rsidRDefault="00323F58">
            <w:pPr>
              <w:spacing w:after="0" w:line="240" w:lineRule="auto"/>
              <w:rPr>
                <w:rFonts w:eastAsia="Times New Roman" w:cstheme="minorHAnsi"/>
              </w:rPr>
            </w:pPr>
          </w:p>
        </w:tc>
        <w:tc>
          <w:tcPr>
            <w:tcW w:w="2000" w:type="dxa"/>
            <w:tcBorders>
              <w:top w:val="nil"/>
              <w:left w:val="nil"/>
              <w:bottom w:val="nil"/>
              <w:right w:val="nil"/>
            </w:tcBorders>
            <w:shd w:val="clear" w:color="auto" w:fill="auto"/>
            <w:noWrap/>
            <w:vAlign w:val="bottom"/>
            <w:hideMark/>
          </w:tcPr>
          <w:p w14:paraId="7CE863C0" w14:textId="77777777" w:rsidR="00323F58" w:rsidRPr="00D23EEE" w:rsidRDefault="00323F58">
            <w:pPr>
              <w:spacing w:after="0" w:line="240" w:lineRule="auto"/>
              <w:rPr>
                <w:rFonts w:eastAsia="Times New Roman" w:cstheme="minorHAnsi"/>
              </w:rPr>
            </w:pPr>
          </w:p>
        </w:tc>
      </w:tr>
      <w:tr w:rsidR="00323F58" w:rsidRPr="00D23EEE" w14:paraId="7578423D" w14:textId="77777777" w:rsidTr="009519FB">
        <w:trPr>
          <w:trHeight w:val="315"/>
          <w:jc w:val="right"/>
        </w:trPr>
        <w:tc>
          <w:tcPr>
            <w:tcW w:w="3585" w:type="dxa"/>
            <w:tcBorders>
              <w:top w:val="nil"/>
              <w:left w:val="nil"/>
              <w:bottom w:val="nil"/>
              <w:right w:val="nil"/>
            </w:tcBorders>
            <w:shd w:val="clear" w:color="auto" w:fill="auto"/>
            <w:noWrap/>
            <w:vAlign w:val="bottom"/>
            <w:hideMark/>
          </w:tcPr>
          <w:p w14:paraId="2B7C61BC" w14:textId="77777777" w:rsidR="00323F58" w:rsidRPr="00D23EEE" w:rsidRDefault="00323F58">
            <w:pPr>
              <w:spacing w:after="0" w:line="240" w:lineRule="auto"/>
              <w:rPr>
                <w:rFonts w:eastAsia="Times New Roman" w:cstheme="minorHAnsi"/>
                <w:color w:val="000000"/>
              </w:rPr>
            </w:pPr>
            <w:r w:rsidRPr="00D23EEE">
              <w:rPr>
                <w:rFonts w:eastAsia="Times New Roman" w:cstheme="minorHAnsi"/>
                <w:color w:val="000000"/>
              </w:rPr>
              <w:lastRenderedPageBreak/>
              <w:t>Medicare</w:t>
            </w:r>
          </w:p>
        </w:tc>
        <w:tc>
          <w:tcPr>
            <w:tcW w:w="942" w:type="dxa"/>
            <w:tcBorders>
              <w:top w:val="nil"/>
              <w:left w:val="nil"/>
              <w:bottom w:val="nil"/>
              <w:right w:val="nil"/>
            </w:tcBorders>
            <w:shd w:val="clear" w:color="auto" w:fill="auto"/>
            <w:noWrap/>
            <w:vAlign w:val="bottom"/>
            <w:hideMark/>
          </w:tcPr>
          <w:p w14:paraId="5DBE2A8F" w14:textId="77777777" w:rsidR="00323F58" w:rsidRPr="00D23EEE" w:rsidRDefault="00323F58">
            <w:pPr>
              <w:spacing w:after="0" w:line="240" w:lineRule="auto"/>
              <w:jc w:val="right"/>
              <w:rPr>
                <w:rFonts w:eastAsia="Times New Roman" w:cstheme="minorHAnsi"/>
                <w:color w:val="000000"/>
              </w:rPr>
            </w:pPr>
            <w:r w:rsidRPr="00D23EEE">
              <w:rPr>
                <w:rFonts w:eastAsia="Times New Roman" w:cstheme="minorHAnsi"/>
                <w:color w:val="000000"/>
              </w:rPr>
              <w:t>1.45%</w:t>
            </w:r>
          </w:p>
        </w:tc>
        <w:tc>
          <w:tcPr>
            <w:tcW w:w="960" w:type="dxa"/>
            <w:tcBorders>
              <w:top w:val="nil"/>
              <w:left w:val="nil"/>
              <w:bottom w:val="nil"/>
              <w:right w:val="nil"/>
            </w:tcBorders>
            <w:shd w:val="clear" w:color="auto" w:fill="auto"/>
            <w:noWrap/>
            <w:vAlign w:val="bottom"/>
            <w:hideMark/>
          </w:tcPr>
          <w:p w14:paraId="637391CE" w14:textId="77777777" w:rsidR="00323F58" w:rsidRPr="00D23EEE" w:rsidRDefault="00323F58">
            <w:pPr>
              <w:spacing w:after="0" w:line="240" w:lineRule="auto"/>
              <w:jc w:val="right"/>
              <w:rPr>
                <w:rFonts w:eastAsia="Times New Roman" w:cstheme="minorHAnsi"/>
                <w:color w:val="000000"/>
              </w:rPr>
            </w:pPr>
          </w:p>
        </w:tc>
        <w:tc>
          <w:tcPr>
            <w:tcW w:w="960" w:type="dxa"/>
            <w:tcBorders>
              <w:top w:val="nil"/>
              <w:left w:val="nil"/>
              <w:bottom w:val="nil"/>
              <w:right w:val="nil"/>
            </w:tcBorders>
            <w:shd w:val="clear" w:color="auto" w:fill="auto"/>
            <w:noWrap/>
            <w:vAlign w:val="bottom"/>
            <w:hideMark/>
          </w:tcPr>
          <w:p w14:paraId="63AD6E37" w14:textId="77777777" w:rsidR="00323F58" w:rsidRPr="00D23EEE" w:rsidRDefault="00323F58">
            <w:pPr>
              <w:spacing w:after="0" w:line="240" w:lineRule="auto"/>
              <w:rPr>
                <w:rFonts w:eastAsia="Times New Roman" w:cstheme="minorHAnsi"/>
              </w:rPr>
            </w:pPr>
          </w:p>
        </w:tc>
        <w:tc>
          <w:tcPr>
            <w:tcW w:w="2000" w:type="dxa"/>
            <w:tcBorders>
              <w:top w:val="nil"/>
              <w:left w:val="nil"/>
              <w:bottom w:val="nil"/>
              <w:right w:val="nil"/>
            </w:tcBorders>
            <w:shd w:val="clear" w:color="auto" w:fill="auto"/>
            <w:noWrap/>
            <w:vAlign w:val="bottom"/>
            <w:hideMark/>
          </w:tcPr>
          <w:p w14:paraId="0F6A20C8" w14:textId="77777777" w:rsidR="00323F58" w:rsidRPr="00D23EEE" w:rsidRDefault="00323F58">
            <w:pPr>
              <w:spacing w:after="0" w:line="240" w:lineRule="auto"/>
              <w:rPr>
                <w:rFonts w:eastAsia="Times New Roman" w:cstheme="minorHAnsi"/>
              </w:rPr>
            </w:pPr>
          </w:p>
        </w:tc>
      </w:tr>
      <w:tr w:rsidR="00323F58" w:rsidRPr="00D23EEE" w14:paraId="7B3385B2" w14:textId="77777777" w:rsidTr="009519FB">
        <w:trPr>
          <w:trHeight w:val="315"/>
          <w:jc w:val="right"/>
        </w:trPr>
        <w:tc>
          <w:tcPr>
            <w:tcW w:w="3585" w:type="dxa"/>
            <w:tcBorders>
              <w:top w:val="nil"/>
              <w:left w:val="nil"/>
              <w:bottom w:val="nil"/>
              <w:right w:val="nil"/>
            </w:tcBorders>
            <w:shd w:val="clear" w:color="auto" w:fill="auto"/>
            <w:noWrap/>
            <w:vAlign w:val="bottom"/>
            <w:hideMark/>
          </w:tcPr>
          <w:p w14:paraId="21921719" w14:textId="77777777" w:rsidR="00323F58" w:rsidRPr="00D23EEE" w:rsidRDefault="00323F58">
            <w:pPr>
              <w:spacing w:after="0" w:line="240" w:lineRule="auto"/>
              <w:rPr>
                <w:rFonts w:eastAsia="Times New Roman" w:cstheme="minorHAnsi"/>
                <w:color w:val="000000"/>
              </w:rPr>
            </w:pPr>
            <w:r w:rsidRPr="00D23EEE">
              <w:rPr>
                <w:rFonts w:eastAsia="Times New Roman" w:cstheme="minorHAnsi"/>
                <w:color w:val="000000"/>
              </w:rPr>
              <w:t>TX State Retirement Match</w:t>
            </w:r>
          </w:p>
        </w:tc>
        <w:tc>
          <w:tcPr>
            <w:tcW w:w="942" w:type="dxa"/>
            <w:tcBorders>
              <w:top w:val="nil"/>
              <w:left w:val="nil"/>
              <w:bottom w:val="nil"/>
              <w:right w:val="nil"/>
            </w:tcBorders>
            <w:shd w:val="clear" w:color="auto" w:fill="auto"/>
            <w:noWrap/>
            <w:vAlign w:val="bottom"/>
            <w:hideMark/>
          </w:tcPr>
          <w:p w14:paraId="7C8CD426" w14:textId="77777777" w:rsidR="00323F58" w:rsidRPr="00D23EEE" w:rsidRDefault="00323F58">
            <w:pPr>
              <w:spacing w:after="0" w:line="240" w:lineRule="auto"/>
              <w:jc w:val="right"/>
              <w:rPr>
                <w:rFonts w:eastAsia="Times New Roman" w:cstheme="minorHAnsi"/>
                <w:color w:val="000000"/>
              </w:rPr>
            </w:pPr>
            <w:r w:rsidRPr="00D23EEE">
              <w:rPr>
                <w:rFonts w:eastAsia="Times New Roman" w:cstheme="minorHAnsi"/>
                <w:color w:val="000000"/>
              </w:rPr>
              <w:t>6.80%</w:t>
            </w:r>
          </w:p>
        </w:tc>
        <w:tc>
          <w:tcPr>
            <w:tcW w:w="960" w:type="dxa"/>
            <w:tcBorders>
              <w:top w:val="nil"/>
              <w:left w:val="nil"/>
              <w:bottom w:val="nil"/>
              <w:right w:val="nil"/>
            </w:tcBorders>
            <w:shd w:val="clear" w:color="auto" w:fill="auto"/>
            <w:noWrap/>
            <w:vAlign w:val="bottom"/>
            <w:hideMark/>
          </w:tcPr>
          <w:p w14:paraId="41B3AD3E" w14:textId="77777777" w:rsidR="00323F58" w:rsidRPr="00D23EEE" w:rsidRDefault="00323F58">
            <w:pPr>
              <w:spacing w:after="0" w:line="240" w:lineRule="auto"/>
              <w:jc w:val="right"/>
              <w:rPr>
                <w:rFonts w:eastAsia="Times New Roman" w:cstheme="minorHAnsi"/>
                <w:color w:val="000000"/>
              </w:rPr>
            </w:pPr>
          </w:p>
        </w:tc>
        <w:tc>
          <w:tcPr>
            <w:tcW w:w="960" w:type="dxa"/>
            <w:tcBorders>
              <w:top w:val="nil"/>
              <w:left w:val="nil"/>
              <w:bottom w:val="nil"/>
              <w:right w:val="nil"/>
            </w:tcBorders>
            <w:shd w:val="clear" w:color="auto" w:fill="auto"/>
            <w:noWrap/>
            <w:vAlign w:val="bottom"/>
            <w:hideMark/>
          </w:tcPr>
          <w:p w14:paraId="2509EBAE" w14:textId="77777777" w:rsidR="00323F58" w:rsidRPr="00D23EEE" w:rsidRDefault="00323F58">
            <w:pPr>
              <w:spacing w:after="0" w:line="240" w:lineRule="auto"/>
              <w:rPr>
                <w:rFonts w:eastAsia="Times New Roman" w:cstheme="minorHAnsi"/>
              </w:rPr>
            </w:pPr>
          </w:p>
        </w:tc>
        <w:tc>
          <w:tcPr>
            <w:tcW w:w="2000" w:type="dxa"/>
            <w:tcBorders>
              <w:top w:val="nil"/>
              <w:left w:val="nil"/>
              <w:bottom w:val="nil"/>
              <w:right w:val="nil"/>
            </w:tcBorders>
            <w:shd w:val="clear" w:color="auto" w:fill="auto"/>
            <w:noWrap/>
            <w:vAlign w:val="bottom"/>
            <w:hideMark/>
          </w:tcPr>
          <w:p w14:paraId="08A348FB" w14:textId="77777777" w:rsidR="00323F58" w:rsidRPr="00D23EEE" w:rsidRDefault="00323F58">
            <w:pPr>
              <w:spacing w:after="0" w:line="240" w:lineRule="auto"/>
              <w:rPr>
                <w:rFonts w:eastAsia="Times New Roman" w:cstheme="minorHAnsi"/>
              </w:rPr>
            </w:pPr>
          </w:p>
        </w:tc>
      </w:tr>
      <w:tr w:rsidR="00323F58" w:rsidRPr="00D23EEE" w14:paraId="5D70B77A" w14:textId="77777777" w:rsidTr="00EF60A4">
        <w:trPr>
          <w:trHeight w:val="315"/>
          <w:jc w:val="right"/>
        </w:trPr>
        <w:tc>
          <w:tcPr>
            <w:tcW w:w="3585" w:type="dxa"/>
            <w:tcBorders>
              <w:top w:val="nil"/>
              <w:left w:val="nil"/>
              <w:bottom w:val="nil"/>
              <w:right w:val="nil"/>
            </w:tcBorders>
            <w:shd w:val="clear" w:color="auto" w:fill="auto"/>
            <w:noWrap/>
            <w:vAlign w:val="bottom"/>
            <w:hideMark/>
          </w:tcPr>
          <w:p w14:paraId="029CE691" w14:textId="77777777" w:rsidR="00323F58" w:rsidRPr="00D23EEE" w:rsidRDefault="00323F58">
            <w:pPr>
              <w:spacing w:after="0" w:line="240" w:lineRule="auto"/>
              <w:rPr>
                <w:rFonts w:eastAsia="Times New Roman" w:cstheme="minorHAnsi"/>
                <w:color w:val="000000"/>
              </w:rPr>
            </w:pPr>
            <w:r w:rsidRPr="00D23EEE">
              <w:rPr>
                <w:rFonts w:eastAsia="Times New Roman" w:cstheme="minorHAnsi"/>
                <w:color w:val="000000"/>
              </w:rPr>
              <w:t>Optional Retirement Match</w:t>
            </w:r>
          </w:p>
        </w:tc>
        <w:tc>
          <w:tcPr>
            <w:tcW w:w="942" w:type="dxa"/>
            <w:tcBorders>
              <w:top w:val="nil"/>
              <w:left w:val="nil"/>
              <w:bottom w:val="single" w:sz="4" w:space="0" w:color="auto"/>
              <w:right w:val="nil"/>
            </w:tcBorders>
            <w:shd w:val="clear" w:color="auto" w:fill="auto"/>
            <w:noWrap/>
            <w:vAlign w:val="bottom"/>
            <w:hideMark/>
          </w:tcPr>
          <w:p w14:paraId="5846078A" w14:textId="77777777" w:rsidR="00323F58" w:rsidRPr="00D23EEE" w:rsidRDefault="00323F58">
            <w:pPr>
              <w:spacing w:after="0" w:line="240" w:lineRule="auto"/>
              <w:jc w:val="right"/>
              <w:rPr>
                <w:rFonts w:eastAsia="Times New Roman" w:cstheme="minorHAnsi"/>
                <w:color w:val="000000"/>
              </w:rPr>
            </w:pPr>
            <w:r w:rsidRPr="00D23EEE">
              <w:rPr>
                <w:rFonts w:eastAsia="Times New Roman" w:cstheme="minorHAnsi"/>
                <w:color w:val="000000"/>
              </w:rPr>
              <w:t>8.50%</w:t>
            </w:r>
          </w:p>
        </w:tc>
        <w:tc>
          <w:tcPr>
            <w:tcW w:w="960" w:type="dxa"/>
            <w:tcBorders>
              <w:top w:val="nil"/>
              <w:left w:val="nil"/>
              <w:bottom w:val="nil"/>
              <w:right w:val="nil"/>
            </w:tcBorders>
            <w:shd w:val="clear" w:color="auto" w:fill="auto"/>
            <w:noWrap/>
            <w:vAlign w:val="bottom"/>
            <w:hideMark/>
          </w:tcPr>
          <w:p w14:paraId="119C2230" w14:textId="7F55CAFC" w:rsidR="00323F58" w:rsidRPr="00D23EEE" w:rsidRDefault="00323F58">
            <w:pPr>
              <w:spacing w:after="0" w:line="240" w:lineRule="auto"/>
              <w:jc w:val="right"/>
              <w:rPr>
                <w:rFonts w:eastAsia="Times New Roman" w:cstheme="minorHAnsi"/>
                <w:color w:val="000000"/>
              </w:rPr>
            </w:pPr>
          </w:p>
        </w:tc>
        <w:tc>
          <w:tcPr>
            <w:tcW w:w="2960" w:type="dxa"/>
            <w:gridSpan w:val="2"/>
            <w:tcBorders>
              <w:top w:val="nil"/>
              <w:left w:val="nil"/>
              <w:bottom w:val="nil"/>
              <w:right w:val="nil"/>
            </w:tcBorders>
            <w:shd w:val="clear" w:color="auto" w:fill="auto"/>
            <w:noWrap/>
            <w:vAlign w:val="bottom"/>
            <w:hideMark/>
          </w:tcPr>
          <w:p w14:paraId="2DD848E1" w14:textId="19592CDF" w:rsidR="00323F58" w:rsidRPr="00D23EEE" w:rsidRDefault="00323F58">
            <w:pPr>
              <w:spacing w:after="0" w:line="240" w:lineRule="auto"/>
              <w:rPr>
                <w:rFonts w:eastAsia="Times New Roman" w:cstheme="minorHAnsi"/>
                <w:color w:val="000000"/>
              </w:rPr>
            </w:pPr>
          </w:p>
        </w:tc>
      </w:tr>
      <w:tr w:rsidR="00C16141" w:rsidRPr="00D23EEE" w14:paraId="65A39FE8" w14:textId="77777777" w:rsidTr="00E51236">
        <w:trPr>
          <w:trHeight w:val="315"/>
          <w:jc w:val="right"/>
        </w:trPr>
        <w:tc>
          <w:tcPr>
            <w:tcW w:w="3585" w:type="dxa"/>
            <w:tcBorders>
              <w:top w:val="nil"/>
              <w:left w:val="nil"/>
              <w:bottom w:val="nil"/>
              <w:right w:val="nil"/>
            </w:tcBorders>
            <w:shd w:val="clear" w:color="auto" w:fill="auto"/>
            <w:noWrap/>
            <w:vAlign w:val="bottom"/>
          </w:tcPr>
          <w:p w14:paraId="3F96C00F" w14:textId="5ECB5086" w:rsidR="00E51236" w:rsidRPr="00D23EEE" w:rsidRDefault="00E51236" w:rsidP="00EF60A4">
            <w:pPr>
              <w:spacing w:after="0" w:line="240" w:lineRule="auto"/>
              <w:jc w:val="right"/>
              <w:rPr>
                <w:rFonts w:eastAsia="Times New Roman" w:cstheme="minorHAnsi"/>
                <w:color w:val="000000"/>
              </w:rPr>
            </w:pPr>
            <w:r>
              <w:rPr>
                <w:rFonts w:eastAsia="Times New Roman" w:cstheme="minorHAnsi"/>
                <w:color w:val="000000"/>
              </w:rPr>
              <w:t>TOTAL WITHOUT INSURA</w:t>
            </w:r>
            <w:r w:rsidR="0005645F">
              <w:rPr>
                <w:rFonts w:eastAsia="Times New Roman" w:cstheme="minorHAnsi"/>
                <w:color w:val="000000"/>
              </w:rPr>
              <w:t>N</w:t>
            </w:r>
            <w:r>
              <w:rPr>
                <w:rFonts w:eastAsia="Times New Roman" w:cstheme="minorHAnsi"/>
                <w:color w:val="000000"/>
              </w:rPr>
              <w:t>CE</w:t>
            </w:r>
          </w:p>
        </w:tc>
        <w:tc>
          <w:tcPr>
            <w:tcW w:w="942" w:type="dxa"/>
            <w:tcBorders>
              <w:top w:val="single" w:sz="4" w:space="0" w:color="auto"/>
              <w:left w:val="nil"/>
              <w:bottom w:val="nil"/>
              <w:right w:val="nil"/>
            </w:tcBorders>
            <w:shd w:val="clear" w:color="auto" w:fill="auto"/>
            <w:noWrap/>
            <w:vAlign w:val="bottom"/>
          </w:tcPr>
          <w:p w14:paraId="1552D58B" w14:textId="3E1AEE27" w:rsidR="00E51236" w:rsidRPr="00D23EEE" w:rsidRDefault="00E51236">
            <w:pPr>
              <w:spacing w:after="0" w:line="240" w:lineRule="auto"/>
              <w:jc w:val="right"/>
              <w:rPr>
                <w:rFonts w:eastAsia="Times New Roman" w:cstheme="minorHAnsi"/>
                <w:color w:val="000000"/>
              </w:rPr>
            </w:pPr>
            <w:r>
              <w:rPr>
                <w:rFonts w:eastAsia="Times New Roman" w:cstheme="minorHAnsi"/>
                <w:color w:val="000000"/>
              </w:rPr>
              <w:t>22.95%</w:t>
            </w:r>
          </w:p>
        </w:tc>
        <w:tc>
          <w:tcPr>
            <w:tcW w:w="960" w:type="dxa"/>
            <w:tcBorders>
              <w:top w:val="nil"/>
              <w:left w:val="nil"/>
              <w:bottom w:val="nil"/>
              <w:right w:val="nil"/>
            </w:tcBorders>
            <w:shd w:val="clear" w:color="auto" w:fill="auto"/>
            <w:noWrap/>
            <w:vAlign w:val="bottom"/>
          </w:tcPr>
          <w:p w14:paraId="25D70406" w14:textId="77777777" w:rsidR="00E51236" w:rsidRPr="00D23EEE" w:rsidRDefault="00E51236">
            <w:pPr>
              <w:spacing w:after="0" w:line="240" w:lineRule="auto"/>
              <w:jc w:val="right"/>
              <w:rPr>
                <w:rFonts w:eastAsia="Times New Roman" w:cstheme="minorHAnsi"/>
                <w:color w:val="000000"/>
              </w:rPr>
            </w:pPr>
          </w:p>
        </w:tc>
        <w:tc>
          <w:tcPr>
            <w:tcW w:w="2960" w:type="dxa"/>
            <w:gridSpan w:val="2"/>
            <w:tcBorders>
              <w:top w:val="nil"/>
              <w:left w:val="nil"/>
              <w:bottom w:val="nil"/>
              <w:right w:val="nil"/>
            </w:tcBorders>
            <w:shd w:val="clear" w:color="auto" w:fill="auto"/>
            <w:noWrap/>
            <w:vAlign w:val="bottom"/>
          </w:tcPr>
          <w:p w14:paraId="44C21B71" w14:textId="77777777" w:rsidR="00E51236" w:rsidRPr="00D23EEE" w:rsidRDefault="00E51236">
            <w:pPr>
              <w:spacing w:after="0" w:line="240" w:lineRule="auto"/>
              <w:rPr>
                <w:rFonts w:eastAsia="Times New Roman" w:cstheme="minorHAnsi"/>
                <w:color w:val="000000"/>
              </w:rPr>
            </w:pPr>
          </w:p>
        </w:tc>
      </w:tr>
      <w:tr w:rsidR="00323F58" w:rsidRPr="00D23EEE" w14:paraId="463C6360" w14:textId="77777777" w:rsidTr="009519FB">
        <w:trPr>
          <w:trHeight w:val="315"/>
          <w:jc w:val="right"/>
        </w:trPr>
        <w:tc>
          <w:tcPr>
            <w:tcW w:w="3585" w:type="dxa"/>
            <w:tcBorders>
              <w:top w:val="nil"/>
              <w:left w:val="nil"/>
              <w:bottom w:val="nil"/>
              <w:right w:val="nil"/>
            </w:tcBorders>
            <w:shd w:val="clear" w:color="auto" w:fill="auto"/>
            <w:noWrap/>
            <w:vAlign w:val="bottom"/>
            <w:hideMark/>
          </w:tcPr>
          <w:p w14:paraId="483BB80F" w14:textId="77777777" w:rsidR="00323F58" w:rsidRPr="00D23EEE" w:rsidRDefault="00323F58">
            <w:pPr>
              <w:spacing w:after="0" w:line="240" w:lineRule="auto"/>
              <w:rPr>
                <w:rFonts w:eastAsia="Times New Roman" w:cstheme="minorHAnsi"/>
                <w:color w:val="000000"/>
              </w:rPr>
            </w:pPr>
            <w:r w:rsidRPr="00D23EEE">
              <w:rPr>
                <w:rFonts w:eastAsia="Times New Roman" w:cstheme="minorHAnsi"/>
                <w:color w:val="000000"/>
              </w:rPr>
              <w:t>Insurance</w:t>
            </w:r>
          </w:p>
        </w:tc>
        <w:tc>
          <w:tcPr>
            <w:tcW w:w="942" w:type="dxa"/>
            <w:tcBorders>
              <w:top w:val="nil"/>
              <w:left w:val="nil"/>
              <w:bottom w:val="single" w:sz="4" w:space="0" w:color="auto"/>
              <w:right w:val="nil"/>
            </w:tcBorders>
            <w:shd w:val="clear" w:color="auto" w:fill="auto"/>
            <w:noWrap/>
            <w:vAlign w:val="bottom"/>
            <w:hideMark/>
          </w:tcPr>
          <w:p w14:paraId="3610F124" w14:textId="77777777" w:rsidR="00323F58" w:rsidRPr="00D23EEE" w:rsidRDefault="00323F58">
            <w:pPr>
              <w:spacing w:after="0" w:line="240" w:lineRule="auto"/>
              <w:jc w:val="right"/>
              <w:rPr>
                <w:rFonts w:eastAsia="Times New Roman" w:cstheme="minorHAnsi"/>
                <w:color w:val="000000"/>
              </w:rPr>
            </w:pPr>
            <w:r w:rsidRPr="00D23EEE">
              <w:rPr>
                <w:rFonts w:eastAsia="Times New Roman" w:cstheme="minorHAnsi"/>
                <w:color w:val="000000"/>
              </w:rPr>
              <w:t>9.45%</w:t>
            </w:r>
          </w:p>
        </w:tc>
        <w:tc>
          <w:tcPr>
            <w:tcW w:w="960" w:type="dxa"/>
            <w:tcBorders>
              <w:top w:val="nil"/>
              <w:left w:val="nil"/>
              <w:bottom w:val="nil"/>
              <w:right w:val="nil"/>
            </w:tcBorders>
            <w:shd w:val="clear" w:color="auto" w:fill="auto"/>
            <w:noWrap/>
            <w:vAlign w:val="bottom"/>
            <w:hideMark/>
          </w:tcPr>
          <w:p w14:paraId="42FFB5D0" w14:textId="77777777" w:rsidR="00323F58" w:rsidRPr="00D23EEE" w:rsidRDefault="00323F58">
            <w:pPr>
              <w:spacing w:after="0" w:line="240" w:lineRule="auto"/>
              <w:jc w:val="right"/>
              <w:rPr>
                <w:rFonts w:eastAsia="Times New Roman" w:cstheme="minorHAnsi"/>
                <w:color w:val="000000"/>
              </w:rPr>
            </w:pPr>
          </w:p>
        </w:tc>
        <w:tc>
          <w:tcPr>
            <w:tcW w:w="960" w:type="dxa"/>
            <w:tcBorders>
              <w:top w:val="nil"/>
              <w:left w:val="nil"/>
              <w:bottom w:val="nil"/>
              <w:right w:val="nil"/>
            </w:tcBorders>
            <w:shd w:val="clear" w:color="auto" w:fill="auto"/>
            <w:noWrap/>
            <w:vAlign w:val="bottom"/>
            <w:hideMark/>
          </w:tcPr>
          <w:p w14:paraId="66EECE31" w14:textId="77777777" w:rsidR="00323F58" w:rsidRPr="00D23EEE" w:rsidRDefault="00323F58">
            <w:pPr>
              <w:spacing w:after="0" w:line="240" w:lineRule="auto"/>
              <w:rPr>
                <w:rFonts w:eastAsia="Times New Roman" w:cstheme="minorHAnsi"/>
              </w:rPr>
            </w:pPr>
          </w:p>
        </w:tc>
        <w:tc>
          <w:tcPr>
            <w:tcW w:w="2000" w:type="dxa"/>
            <w:tcBorders>
              <w:top w:val="nil"/>
              <w:left w:val="nil"/>
              <w:bottom w:val="nil"/>
              <w:right w:val="nil"/>
            </w:tcBorders>
            <w:shd w:val="clear" w:color="auto" w:fill="auto"/>
            <w:noWrap/>
            <w:vAlign w:val="bottom"/>
            <w:hideMark/>
          </w:tcPr>
          <w:p w14:paraId="726921A3" w14:textId="77777777" w:rsidR="00323F58" w:rsidRPr="00D23EEE" w:rsidRDefault="00323F58">
            <w:pPr>
              <w:spacing w:after="0" w:line="240" w:lineRule="auto"/>
              <w:rPr>
                <w:rFonts w:eastAsia="Times New Roman" w:cstheme="minorHAnsi"/>
              </w:rPr>
            </w:pPr>
          </w:p>
        </w:tc>
      </w:tr>
      <w:tr w:rsidR="00323F58" w:rsidRPr="00D23EEE" w14:paraId="428F1115" w14:textId="77777777" w:rsidTr="009519FB">
        <w:trPr>
          <w:trHeight w:val="315"/>
          <w:jc w:val="right"/>
        </w:trPr>
        <w:tc>
          <w:tcPr>
            <w:tcW w:w="3585" w:type="dxa"/>
            <w:tcBorders>
              <w:top w:val="nil"/>
              <w:left w:val="nil"/>
              <w:bottom w:val="nil"/>
              <w:right w:val="nil"/>
            </w:tcBorders>
            <w:shd w:val="clear" w:color="auto" w:fill="auto"/>
            <w:noWrap/>
            <w:vAlign w:val="bottom"/>
            <w:hideMark/>
          </w:tcPr>
          <w:p w14:paraId="15BD28C7" w14:textId="77777777" w:rsidR="00323F58" w:rsidRPr="00D23EEE" w:rsidRDefault="00323F58">
            <w:pPr>
              <w:spacing w:after="0" w:line="240" w:lineRule="auto"/>
              <w:jc w:val="right"/>
              <w:rPr>
                <w:rFonts w:eastAsia="Times New Roman" w:cstheme="minorHAnsi"/>
                <w:color w:val="000000"/>
              </w:rPr>
            </w:pPr>
            <w:r w:rsidRPr="00D23EEE">
              <w:rPr>
                <w:rFonts w:eastAsia="Times New Roman" w:cstheme="minorHAnsi"/>
                <w:color w:val="000000"/>
              </w:rPr>
              <w:t>TOTAL</w:t>
            </w:r>
          </w:p>
        </w:tc>
        <w:tc>
          <w:tcPr>
            <w:tcW w:w="942" w:type="dxa"/>
            <w:tcBorders>
              <w:top w:val="nil"/>
              <w:left w:val="nil"/>
              <w:bottom w:val="nil"/>
              <w:right w:val="nil"/>
            </w:tcBorders>
            <w:shd w:val="clear" w:color="auto" w:fill="auto"/>
            <w:noWrap/>
            <w:vAlign w:val="bottom"/>
            <w:hideMark/>
          </w:tcPr>
          <w:p w14:paraId="14D21809" w14:textId="77777777" w:rsidR="00323F58" w:rsidRPr="00D23EEE" w:rsidRDefault="00323F58">
            <w:pPr>
              <w:spacing w:after="0" w:line="240" w:lineRule="auto"/>
              <w:jc w:val="right"/>
              <w:rPr>
                <w:rFonts w:eastAsia="Times New Roman" w:cstheme="minorHAnsi"/>
                <w:b/>
                <w:bCs/>
                <w:color w:val="000000"/>
              </w:rPr>
            </w:pPr>
            <w:r w:rsidRPr="00D23EEE">
              <w:rPr>
                <w:rFonts w:eastAsia="Times New Roman" w:cstheme="minorHAnsi"/>
                <w:b/>
                <w:bCs/>
                <w:color w:val="000000"/>
              </w:rPr>
              <w:t>32.40%</w:t>
            </w:r>
          </w:p>
        </w:tc>
        <w:tc>
          <w:tcPr>
            <w:tcW w:w="960" w:type="dxa"/>
            <w:tcBorders>
              <w:top w:val="nil"/>
              <w:left w:val="nil"/>
              <w:bottom w:val="nil"/>
              <w:right w:val="nil"/>
            </w:tcBorders>
            <w:shd w:val="clear" w:color="auto" w:fill="auto"/>
            <w:noWrap/>
            <w:vAlign w:val="bottom"/>
            <w:hideMark/>
          </w:tcPr>
          <w:p w14:paraId="5AF0DE85" w14:textId="77777777" w:rsidR="00323F58" w:rsidRPr="00D23EEE" w:rsidRDefault="00323F58">
            <w:pPr>
              <w:spacing w:after="0" w:line="240" w:lineRule="auto"/>
              <w:jc w:val="right"/>
              <w:rPr>
                <w:rFonts w:eastAsia="Times New Roman" w:cstheme="minorHAnsi"/>
                <w:b/>
                <w:bCs/>
                <w:color w:val="000000"/>
              </w:rPr>
            </w:pPr>
          </w:p>
        </w:tc>
        <w:tc>
          <w:tcPr>
            <w:tcW w:w="960" w:type="dxa"/>
            <w:tcBorders>
              <w:top w:val="nil"/>
              <w:left w:val="nil"/>
              <w:bottom w:val="nil"/>
              <w:right w:val="nil"/>
            </w:tcBorders>
            <w:shd w:val="clear" w:color="auto" w:fill="auto"/>
            <w:noWrap/>
            <w:vAlign w:val="bottom"/>
            <w:hideMark/>
          </w:tcPr>
          <w:p w14:paraId="65957892" w14:textId="77777777" w:rsidR="00323F58" w:rsidRPr="00D23EEE" w:rsidRDefault="00323F58">
            <w:pPr>
              <w:spacing w:after="0" w:line="240" w:lineRule="auto"/>
              <w:rPr>
                <w:rFonts w:eastAsia="Times New Roman" w:cstheme="minorHAnsi"/>
              </w:rPr>
            </w:pPr>
          </w:p>
        </w:tc>
        <w:tc>
          <w:tcPr>
            <w:tcW w:w="2000" w:type="dxa"/>
            <w:tcBorders>
              <w:top w:val="nil"/>
              <w:left w:val="nil"/>
              <w:bottom w:val="nil"/>
              <w:right w:val="nil"/>
            </w:tcBorders>
            <w:shd w:val="clear" w:color="auto" w:fill="auto"/>
            <w:noWrap/>
            <w:vAlign w:val="bottom"/>
            <w:hideMark/>
          </w:tcPr>
          <w:p w14:paraId="323F543A" w14:textId="77777777" w:rsidR="00323F58" w:rsidRPr="00D23EEE" w:rsidRDefault="00323F58">
            <w:pPr>
              <w:spacing w:after="0" w:line="240" w:lineRule="auto"/>
              <w:rPr>
                <w:rFonts w:eastAsia="Times New Roman" w:cstheme="minorHAnsi"/>
              </w:rPr>
            </w:pPr>
          </w:p>
        </w:tc>
      </w:tr>
    </w:tbl>
    <w:p w14:paraId="058F2E92" w14:textId="77777777" w:rsidR="00323F58" w:rsidRPr="00D23EEE" w:rsidRDefault="00323F58" w:rsidP="00323F58">
      <w:pPr>
        <w:ind w:left="360"/>
        <w:rPr>
          <w:rFonts w:cstheme="minorHAnsi"/>
          <w:bCs/>
        </w:rPr>
      </w:pPr>
    </w:p>
    <w:p w14:paraId="60FA45A5" w14:textId="7CC06C46" w:rsidR="00323F58" w:rsidRPr="00D23EEE" w:rsidRDefault="009519FB" w:rsidP="009519FB">
      <w:pPr>
        <w:ind w:firstLine="720"/>
        <w:rPr>
          <w:rFonts w:cstheme="minorHAnsi"/>
          <w:b/>
          <w:i/>
          <w:iCs/>
        </w:rPr>
      </w:pPr>
      <w:r w:rsidRPr="00D23EEE">
        <w:rPr>
          <w:rFonts w:cstheme="minorHAnsi"/>
          <w:b/>
          <w:i/>
          <w:iCs/>
        </w:rPr>
        <w:t>Graduate Student Fringe Breakdown</w:t>
      </w:r>
    </w:p>
    <w:tbl>
      <w:tblPr>
        <w:tblW w:w="9525" w:type="dxa"/>
        <w:tblInd w:w="555" w:type="dxa"/>
        <w:tblLook w:val="04A0" w:firstRow="1" w:lastRow="0" w:firstColumn="1" w:lastColumn="0" w:noHBand="0" w:noVBand="1"/>
      </w:tblPr>
      <w:tblGrid>
        <w:gridCol w:w="9525"/>
      </w:tblGrid>
      <w:tr w:rsidR="00323F58" w:rsidRPr="00D23EEE" w14:paraId="09B37301" w14:textId="77777777" w:rsidTr="00EF60A4">
        <w:trPr>
          <w:trHeight w:val="315"/>
        </w:trPr>
        <w:tc>
          <w:tcPr>
            <w:tcW w:w="9525" w:type="dxa"/>
            <w:tcBorders>
              <w:top w:val="nil"/>
              <w:left w:val="nil"/>
              <w:bottom w:val="nil"/>
              <w:right w:val="nil"/>
            </w:tcBorders>
            <w:shd w:val="clear" w:color="auto" w:fill="auto"/>
            <w:noWrap/>
            <w:vAlign w:val="bottom"/>
            <w:hideMark/>
          </w:tcPr>
          <w:p w14:paraId="7C4EA407" w14:textId="0D1B1C4A" w:rsidR="00323F58" w:rsidRPr="00D23EEE" w:rsidRDefault="00323F58" w:rsidP="00323F58">
            <w:pPr>
              <w:pStyle w:val="ListParagraph"/>
              <w:numPr>
                <w:ilvl w:val="0"/>
                <w:numId w:val="5"/>
              </w:numPr>
              <w:spacing w:after="0" w:line="240" w:lineRule="auto"/>
              <w:rPr>
                <w:rFonts w:eastAsiaTheme="minorEastAsia" w:cstheme="minorHAnsi"/>
                <w:color w:val="000000"/>
                <w:u w:val="single"/>
              </w:rPr>
            </w:pPr>
            <w:r w:rsidRPr="00D23EEE">
              <w:rPr>
                <w:rFonts w:eastAsia="Times New Roman" w:cstheme="minorHAnsi"/>
                <w:color w:val="000000" w:themeColor="text1"/>
              </w:rPr>
              <w:t>7.65% (FICA and Medicare) plus insurance</w:t>
            </w:r>
            <w:r w:rsidR="007E6416">
              <w:rPr>
                <w:rFonts w:eastAsia="Times New Roman" w:cstheme="minorHAnsi"/>
                <w:color w:val="000000" w:themeColor="text1"/>
              </w:rPr>
              <w:t>.</w:t>
            </w:r>
          </w:p>
          <w:p w14:paraId="6FF79F9E" w14:textId="6E738C7B" w:rsidR="00323F58" w:rsidRPr="00D23EEE" w:rsidRDefault="00DB6164" w:rsidP="00323F58">
            <w:pPr>
              <w:pStyle w:val="ListParagraph"/>
              <w:numPr>
                <w:ilvl w:val="0"/>
                <w:numId w:val="5"/>
              </w:numPr>
              <w:spacing w:after="0" w:line="240" w:lineRule="auto"/>
              <w:rPr>
                <w:rFonts w:eastAsiaTheme="minorEastAsia" w:cstheme="minorHAnsi"/>
                <w:color w:val="000000"/>
              </w:rPr>
            </w:pPr>
            <w:r>
              <w:rPr>
                <w:rFonts w:eastAsia="Times New Roman" w:cstheme="minorHAnsi"/>
                <w:color w:val="000000" w:themeColor="text1"/>
              </w:rPr>
              <w:t xml:space="preserve">University </w:t>
            </w:r>
            <w:r w:rsidR="00323F58" w:rsidRPr="00D23EEE">
              <w:rPr>
                <w:rFonts w:eastAsia="Times New Roman" w:cstheme="minorHAnsi"/>
                <w:color w:val="000000" w:themeColor="text1"/>
              </w:rPr>
              <w:t>Insurance is option</w:t>
            </w:r>
            <w:r>
              <w:rPr>
                <w:rFonts w:eastAsia="Times New Roman" w:cstheme="minorHAnsi"/>
                <w:color w:val="000000" w:themeColor="text1"/>
              </w:rPr>
              <w:t>al</w:t>
            </w:r>
            <w:r w:rsidR="00323F58" w:rsidRPr="00D23EEE">
              <w:rPr>
                <w:rFonts w:eastAsia="Times New Roman" w:cstheme="minorHAnsi"/>
                <w:color w:val="000000" w:themeColor="text1"/>
              </w:rPr>
              <w:t xml:space="preserve"> for grad</w:t>
            </w:r>
            <w:r>
              <w:rPr>
                <w:rFonts w:eastAsia="Times New Roman" w:cstheme="minorHAnsi"/>
                <w:color w:val="000000" w:themeColor="text1"/>
              </w:rPr>
              <w:t>uate</w:t>
            </w:r>
            <w:r w:rsidR="00323F58" w:rsidRPr="00D23EEE">
              <w:rPr>
                <w:rFonts w:eastAsia="Times New Roman" w:cstheme="minorHAnsi"/>
                <w:color w:val="000000" w:themeColor="text1"/>
              </w:rPr>
              <w:t xml:space="preserve"> students.  If elected by the grad</w:t>
            </w:r>
            <w:r>
              <w:rPr>
                <w:rFonts w:eastAsia="Times New Roman" w:cstheme="minorHAnsi"/>
                <w:color w:val="000000" w:themeColor="text1"/>
              </w:rPr>
              <w:t>uate</w:t>
            </w:r>
            <w:r w:rsidR="00323F58" w:rsidRPr="00D23EEE">
              <w:rPr>
                <w:rFonts w:eastAsia="Times New Roman" w:cstheme="minorHAnsi"/>
                <w:color w:val="000000" w:themeColor="text1"/>
              </w:rPr>
              <w:t xml:space="preserve"> student, the university </w:t>
            </w:r>
            <w:r>
              <w:rPr>
                <w:rFonts w:eastAsia="Times New Roman" w:cstheme="minorHAnsi"/>
                <w:color w:val="000000" w:themeColor="text1"/>
              </w:rPr>
              <w:t>contributes half of the costs</w:t>
            </w:r>
            <w:r w:rsidR="00323F58" w:rsidRPr="00D23EEE">
              <w:rPr>
                <w:rFonts w:eastAsia="Times New Roman" w:cstheme="minorHAnsi"/>
                <w:color w:val="000000" w:themeColor="text1"/>
              </w:rPr>
              <w:t xml:space="preserve">.  Therefore, </w:t>
            </w:r>
            <w:r>
              <w:rPr>
                <w:rFonts w:eastAsia="Times New Roman" w:cstheme="minorHAnsi"/>
                <w:color w:val="000000" w:themeColor="text1"/>
              </w:rPr>
              <w:t xml:space="preserve">the </w:t>
            </w:r>
            <w:r w:rsidR="0054019B">
              <w:rPr>
                <w:rFonts w:eastAsia="Times New Roman" w:cstheme="minorHAnsi"/>
                <w:color w:val="000000" w:themeColor="text1"/>
              </w:rPr>
              <w:t xml:space="preserve">50% </w:t>
            </w:r>
            <w:r>
              <w:rPr>
                <w:rFonts w:eastAsia="Times New Roman" w:cstheme="minorHAnsi"/>
                <w:color w:val="000000" w:themeColor="text1"/>
              </w:rPr>
              <w:t>university contribution amount</w:t>
            </w:r>
            <w:r w:rsidR="00323F58" w:rsidRPr="00D23EEE">
              <w:rPr>
                <w:rFonts w:eastAsia="Times New Roman" w:cstheme="minorHAnsi"/>
                <w:color w:val="000000" w:themeColor="text1"/>
              </w:rPr>
              <w:t xml:space="preserve"> is budgeted in </w:t>
            </w:r>
            <w:r w:rsidR="00C16141">
              <w:rPr>
                <w:rFonts w:eastAsia="Times New Roman" w:cstheme="minorHAnsi"/>
                <w:color w:val="000000" w:themeColor="text1"/>
              </w:rPr>
              <w:t>sponsored research</w:t>
            </w:r>
            <w:r w:rsidR="00323F58" w:rsidRPr="00D23EEE">
              <w:rPr>
                <w:rFonts w:eastAsia="Times New Roman" w:cstheme="minorHAnsi"/>
                <w:color w:val="000000" w:themeColor="text1"/>
              </w:rPr>
              <w:t xml:space="preserve"> proposal</w:t>
            </w:r>
            <w:r w:rsidR="00C16141">
              <w:rPr>
                <w:rFonts w:eastAsia="Times New Roman" w:cstheme="minorHAnsi"/>
                <w:color w:val="000000" w:themeColor="text1"/>
              </w:rPr>
              <w:t xml:space="preserve"> budgets</w:t>
            </w:r>
            <w:r w:rsidR="00323F58" w:rsidRPr="00D23EEE">
              <w:rPr>
                <w:rFonts w:eastAsia="Times New Roman" w:cstheme="minorHAnsi"/>
                <w:color w:val="000000" w:themeColor="text1"/>
              </w:rPr>
              <w:t xml:space="preserve">. </w:t>
            </w:r>
          </w:p>
        </w:tc>
      </w:tr>
      <w:tr w:rsidR="00323F58" w:rsidRPr="00D23EEE" w14:paraId="3B8FC429" w14:textId="77777777" w:rsidTr="00EF60A4">
        <w:trPr>
          <w:trHeight w:val="840"/>
        </w:trPr>
        <w:tc>
          <w:tcPr>
            <w:tcW w:w="9525" w:type="dxa"/>
            <w:tcBorders>
              <w:top w:val="nil"/>
              <w:left w:val="nil"/>
              <w:bottom w:val="nil"/>
              <w:right w:val="nil"/>
            </w:tcBorders>
            <w:shd w:val="clear" w:color="auto" w:fill="auto"/>
            <w:vAlign w:val="bottom"/>
            <w:hideMark/>
          </w:tcPr>
          <w:p w14:paraId="444F918E" w14:textId="2B9D500F" w:rsidR="00323F58" w:rsidRPr="00D23EEE" w:rsidRDefault="00291D47" w:rsidP="00323F58">
            <w:pPr>
              <w:pStyle w:val="ListParagraph"/>
              <w:numPr>
                <w:ilvl w:val="0"/>
                <w:numId w:val="5"/>
              </w:numPr>
              <w:spacing w:after="0" w:line="240" w:lineRule="auto"/>
              <w:rPr>
                <w:rFonts w:eastAsiaTheme="minorEastAsia" w:cstheme="minorHAnsi"/>
                <w:color w:val="000000"/>
              </w:rPr>
            </w:pPr>
            <w:r>
              <w:rPr>
                <w:rFonts w:eastAsia="Times New Roman" w:cstheme="minorHAnsi"/>
                <w:color w:val="000000" w:themeColor="text1"/>
              </w:rPr>
              <w:t xml:space="preserve">50% </w:t>
            </w:r>
            <w:r w:rsidR="00323F58" w:rsidRPr="00D23EEE">
              <w:rPr>
                <w:rFonts w:eastAsia="Times New Roman" w:cstheme="minorHAnsi"/>
                <w:color w:val="000000" w:themeColor="text1"/>
              </w:rPr>
              <w:t xml:space="preserve">Insurance is calculated at $313/month and </w:t>
            </w:r>
            <w:r>
              <w:rPr>
                <w:rFonts w:eastAsia="Times New Roman" w:cstheme="minorHAnsi"/>
                <w:color w:val="000000" w:themeColor="text1"/>
              </w:rPr>
              <w:t>included</w:t>
            </w:r>
            <w:r w:rsidRPr="00D23EEE">
              <w:rPr>
                <w:rFonts w:eastAsia="Times New Roman" w:cstheme="minorHAnsi"/>
                <w:color w:val="000000" w:themeColor="text1"/>
              </w:rPr>
              <w:t xml:space="preserve"> </w:t>
            </w:r>
            <w:r w:rsidR="00323F58" w:rsidRPr="00D23EEE">
              <w:rPr>
                <w:rFonts w:eastAsia="Times New Roman" w:cstheme="minorHAnsi"/>
                <w:color w:val="000000" w:themeColor="text1"/>
              </w:rPr>
              <w:t>for eligible graduate students who are scheduled to work 29 hours or less per week (7</w:t>
            </w:r>
            <w:r w:rsidR="00DA31E1">
              <w:rPr>
                <w:rFonts w:eastAsia="Times New Roman" w:cstheme="minorHAnsi"/>
                <w:color w:val="000000" w:themeColor="text1"/>
              </w:rPr>
              <w:t>2.5</w:t>
            </w:r>
            <w:r w:rsidR="00323F58" w:rsidRPr="00D23EEE">
              <w:rPr>
                <w:rFonts w:eastAsia="Times New Roman" w:cstheme="minorHAnsi"/>
                <w:color w:val="000000" w:themeColor="text1"/>
              </w:rPr>
              <w:t>% max effort).  Note: most grad students are expected to work no more than 20 hours/week.</w:t>
            </w:r>
          </w:p>
        </w:tc>
      </w:tr>
      <w:tr w:rsidR="00323F58" w:rsidRPr="00D23EEE" w14:paraId="65C86E6F" w14:textId="77777777" w:rsidTr="00EF60A4">
        <w:trPr>
          <w:trHeight w:val="570"/>
        </w:trPr>
        <w:tc>
          <w:tcPr>
            <w:tcW w:w="9525" w:type="dxa"/>
            <w:tcBorders>
              <w:top w:val="nil"/>
              <w:left w:val="nil"/>
              <w:bottom w:val="nil"/>
              <w:right w:val="nil"/>
            </w:tcBorders>
            <w:shd w:val="clear" w:color="auto" w:fill="auto"/>
            <w:vAlign w:val="bottom"/>
            <w:hideMark/>
          </w:tcPr>
          <w:p w14:paraId="15652EFD" w14:textId="2A059567" w:rsidR="00323F58" w:rsidRPr="00D23EEE" w:rsidRDefault="00291D47" w:rsidP="00323F58">
            <w:pPr>
              <w:pStyle w:val="ListParagraph"/>
              <w:numPr>
                <w:ilvl w:val="0"/>
                <w:numId w:val="5"/>
              </w:numPr>
              <w:spacing w:after="0" w:line="240" w:lineRule="auto"/>
              <w:rPr>
                <w:rFonts w:eastAsiaTheme="minorEastAsia" w:cstheme="minorHAnsi"/>
                <w:color w:val="000000"/>
              </w:rPr>
            </w:pPr>
            <w:r>
              <w:rPr>
                <w:rFonts w:eastAsia="Times New Roman" w:cstheme="minorHAnsi"/>
                <w:color w:val="000000" w:themeColor="text1"/>
              </w:rPr>
              <w:t xml:space="preserve">100% </w:t>
            </w:r>
            <w:r w:rsidR="00323F58" w:rsidRPr="00D23EEE">
              <w:rPr>
                <w:rFonts w:eastAsia="Times New Roman" w:cstheme="minorHAnsi"/>
                <w:color w:val="000000" w:themeColor="text1"/>
              </w:rPr>
              <w:t xml:space="preserve">Insurance is calculated at $625/month and </w:t>
            </w:r>
            <w:r>
              <w:rPr>
                <w:rFonts w:eastAsia="Times New Roman" w:cstheme="minorHAnsi"/>
                <w:color w:val="000000" w:themeColor="text1"/>
              </w:rPr>
              <w:t>included</w:t>
            </w:r>
            <w:r w:rsidRPr="00D23EEE">
              <w:rPr>
                <w:rFonts w:eastAsia="Times New Roman" w:cstheme="minorHAnsi"/>
                <w:color w:val="000000" w:themeColor="text1"/>
              </w:rPr>
              <w:t xml:space="preserve"> </w:t>
            </w:r>
            <w:r w:rsidR="00323F58" w:rsidRPr="00D23EEE">
              <w:rPr>
                <w:rFonts w:eastAsia="Times New Roman" w:cstheme="minorHAnsi"/>
                <w:color w:val="000000" w:themeColor="text1"/>
              </w:rPr>
              <w:t xml:space="preserve">for eligible graduate students who are scheduled to work </w:t>
            </w:r>
            <w:r w:rsidR="00455562">
              <w:rPr>
                <w:rFonts w:eastAsia="Times New Roman" w:cstheme="minorHAnsi"/>
                <w:color w:val="000000" w:themeColor="text1"/>
              </w:rPr>
              <w:t>more than 29</w:t>
            </w:r>
            <w:r w:rsidR="00323F58" w:rsidRPr="00D23EEE">
              <w:rPr>
                <w:rFonts w:eastAsia="Times New Roman" w:cstheme="minorHAnsi"/>
                <w:color w:val="000000" w:themeColor="text1"/>
              </w:rPr>
              <w:t xml:space="preserve"> hours per week (7</w:t>
            </w:r>
            <w:r w:rsidR="009F7EE1">
              <w:rPr>
                <w:rFonts w:eastAsia="Times New Roman" w:cstheme="minorHAnsi"/>
                <w:color w:val="000000" w:themeColor="text1"/>
              </w:rPr>
              <w:t>2.6</w:t>
            </w:r>
            <w:r w:rsidR="00323F58" w:rsidRPr="00D23EEE">
              <w:rPr>
                <w:rFonts w:eastAsia="Times New Roman" w:cstheme="minorHAnsi"/>
                <w:color w:val="000000" w:themeColor="text1"/>
              </w:rPr>
              <w:t>% - 100% effort)</w:t>
            </w:r>
          </w:p>
        </w:tc>
      </w:tr>
    </w:tbl>
    <w:p w14:paraId="54850439" w14:textId="77777777" w:rsidR="00D23EEE" w:rsidRDefault="00D23EEE" w:rsidP="009519FB">
      <w:pPr>
        <w:ind w:firstLine="720"/>
        <w:rPr>
          <w:rFonts w:cstheme="minorHAnsi"/>
          <w:b/>
          <w:i/>
          <w:iCs/>
        </w:rPr>
      </w:pPr>
    </w:p>
    <w:p w14:paraId="4CD66F22" w14:textId="3341585A" w:rsidR="00323F58" w:rsidRPr="00D23EEE" w:rsidRDefault="009519FB" w:rsidP="009519FB">
      <w:pPr>
        <w:ind w:firstLine="720"/>
        <w:rPr>
          <w:rFonts w:cstheme="minorHAnsi"/>
          <w:b/>
          <w:i/>
          <w:iCs/>
        </w:rPr>
      </w:pPr>
      <w:r w:rsidRPr="00D23EEE">
        <w:rPr>
          <w:rFonts w:cstheme="minorHAnsi"/>
          <w:b/>
          <w:i/>
          <w:iCs/>
        </w:rPr>
        <w:t xml:space="preserve">Undergraduate </w:t>
      </w:r>
      <w:r w:rsidR="00B54A25">
        <w:rPr>
          <w:rFonts w:cstheme="minorHAnsi"/>
          <w:b/>
          <w:i/>
          <w:iCs/>
        </w:rPr>
        <w:t>S</w:t>
      </w:r>
      <w:r w:rsidRPr="00D23EEE">
        <w:rPr>
          <w:rFonts w:cstheme="minorHAnsi"/>
          <w:b/>
          <w:i/>
          <w:iCs/>
        </w:rPr>
        <w:t>tudent Fringe Breakdown</w:t>
      </w:r>
    </w:p>
    <w:p w14:paraId="59724DBB" w14:textId="77777777" w:rsidR="00323F58" w:rsidRPr="00D23EEE" w:rsidRDefault="00323F58" w:rsidP="009519FB">
      <w:pPr>
        <w:pStyle w:val="ListParagraph"/>
        <w:numPr>
          <w:ilvl w:val="0"/>
          <w:numId w:val="12"/>
        </w:numPr>
        <w:ind w:left="1440"/>
        <w:rPr>
          <w:rFonts w:cstheme="minorHAnsi"/>
          <w:bCs/>
        </w:rPr>
      </w:pPr>
      <w:r w:rsidRPr="00D23EEE">
        <w:rPr>
          <w:rFonts w:eastAsia="Times New Roman" w:cstheme="minorHAnsi"/>
          <w:color w:val="000000"/>
        </w:rPr>
        <w:t>7.65% (FICA and Medicare)</w:t>
      </w:r>
    </w:p>
    <w:p w14:paraId="111CEBBC" w14:textId="13F192A4" w:rsidR="00323F58" w:rsidRPr="00D23EEE" w:rsidRDefault="00323F58" w:rsidP="009519FB">
      <w:pPr>
        <w:pStyle w:val="ListParagraph"/>
        <w:numPr>
          <w:ilvl w:val="0"/>
          <w:numId w:val="12"/>
        </w:numPr>
        <w:ind w:left="1440"/>
        <w:rPr>
          <w:rFonts w:cstheme="minorHAnsi"/>
          <w:bCs/>
        </w:rPr>
      </w:pPr>
      <w:r w:rsidRPr="00D23EEE">
        <w:rPr>
          <w:rFonts w:eastAsia="Times New Roman" w:cstheme="minorHAnsi"/>
          <w:color w:val="000000"/>
        </w:rPr>
        <w:t>Undergrad</w:t>
      </w:r>
      <w:r w:rsidR="006229F0">
        <w:rPr>
          <w:rFonts w:eastAsia="Times New Roman" w:cstheme="minorHAnsi"/>
          <w:color w:val="000000"/>
        </w:rPr>
        <w:t>uate student</w:t>
      </w:r>
      <w:r w:rsidRPr="00D23EEE">
        <w:rPr>
          <w:rFonts w:eastAsia="Times New Roman" w:cstheme="minorHAnsi"/>
          <w:color w:val="000000"/>
        </w:rPr>
        <w:t xml:space="preserve">s are not eligible for </w:t>
      </w:r>
      <w:proofErr w:type="gramStart"/>
      <w:r w:rsidRPr="00D23EEE">
        <w:rPr>
          <w:rFonts w:eastAsia="Times New Roman" w:cstheme="minorHAnsi"/>
          <w:color w:val="000000"/>
        </w:rPr>
        <w:t>insurance</w:t>
      </w:r>
      <w:proofErr w:type="gramEnd"/>
    </w:p>
    <w:p w14:paraId="1D8C34E2" w14:textId="7D24D8D2" w:rsidR="00323F58" w:rsidRPr="00D23EEE" w:rsidRDefault="00323F58" w:rsidP="009519FB">
      <w:pPr>
        <w:pStyle w:val="ListParagraph"/>
        <w:numPr>
          <w:ilvl w:val="0"/>
          <w:numId w:val="12"/>
        </w:numPr>
        <w:ind w:left="1440"/>
        <w:rPr>
          <w:rFonts w:cstheme="minorHAnsi"/>
        </w:rPr>
      </w:pPr>
      <w:r w:rsidRPr="00D23EEE">
        <w:rPr>
          <w:rFonts w:eastAsia="Times New Roman" w:cstheme="minorHAnsi"/>
          <w:color w:val="000000" w:themeColor="text1"/>
        </w:rPr>
        <w:t xml:space="preserve">Many undergrads do not actually have any taxes taken out, but </w:t>
      </w:r>
      <w:r w:rsidR="00F16CA9">
        <w:rPr>
          <w:rFonts w:eastAsia="Times New Roman" w:cstheme="minorHAnsi"/>
          <w:color w:val="000000" w:themeColor="text1"/>
        </w:rPr>
        <w:t xml:space="preserve">because this varies, we included </w:t>
      </w:r>
      <w:r w:rsidRPr="00D23EEE">
        <w:rPr>
          <w:rFonts w:eastAsia="Times New Roman" w:cstheme="minorHAnsi"/>
          <w:color w:val="000000" w:themeColor="text1"/>
        </w:rPr>
        <w:t xml:space="preserve">SHSU’s share of their taxes </w:t>
      </w:r>
      <w:r w:rsidR="00C16141">
        <w:rPr>
          <w:rFonts w:eastAsia="Times New Roman" w:cstheme="minorHAnsi"/>
          <w:color w:val="000000" w:themeColor="text1"/>
        </w:rPr>
        <w:t>in sponsored research proposal budgets.</w:t>
      </w:r>
    </w:p>
    <w:p w14:paraId="24EDE48D" w14:textId="77777777" w:rsidR="006C7E02" w:rsidRPr="00D23EEE" w:rsidRDefault="006C7E02" w:rsidP="00DF3800">
      <w:pPr>
        <w:rPr>
          <w:rFonts w:cstheme="minorHAnsi"/>
        </w:rPr>
      </w:pPr>
    </w:p>
    <w:sectPr w:rsidR="006C7E02" w:rsidRPr="00D23EE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48CD" w14:textId="77777777" w:rsidR="00CA63B8" w:rsidRDefault="00CA63B8" w:rsidP="00422330">
      <w:pPr>
        <w:spacing w:after="0" w:line="240" w:lineRule="auto"/>
      </w:pPr>
      <w:r>
        <w:separator/>
      </w:r>
    </w:p>
  </w:endnote>
  <w:endnote w:type="continuationSeparator" w:id="0">
    <w:p w14:paraId="2C2B3626" w14:textId="77777777" w:rsidR="00CA63B8" w:rsidRDefault="00CA63B8" w:rsidP="00422330">
      <w:pPr>
        <w:spacing w:after="0" w:line="240" w:lineRule="auto"/>
      </w:pPr>
      <w:r>
        <w:continuationSeparator/>
      </w:r>
    </w:p>
  </w:endnote>
  <w:endnote w:type="continuationNotice" w:id="1">
    <w:p w14:paraId="0C97FB6C" w14:textId="77777777" w:rsidR="00CA63B8" w:rsidRDefault="00CA6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89863"/>
      <w:docPartObj>
        <w:docPartGallery w:val="Page Numbers (Bottom of Page)"/>
        <w:docPartUnique/>
      </w:docPartObj>
    </w:sdtPr>
    <w:sdtEndPr>
      <w:rPr>
        <w:noProof/>
      </w:rPr>
    </w:sdtEndPr>
    <w:sdtContent>
      <w:p w14:paraId="3CF49BC7" w14:textId="04998F6B" w:rsidR="00943372" w:rsidRDefault="00943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729232" w14:textId="77777777" w:rsidR="00943372" w:rsidRDefault="0094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D51E" w14:textId="77777777" w:rsidR="00CA63B8" w:rsidRDefault="00CA63B8" w:rsidP="00422330">
      <w:pPr>
        <w:spacing w:after="0" w:line="240" w:lineRule="auto"/>
      </w:pPr>
      <w:r>
        <w:separator/>
      </w:r>
    </w:p>
  </w:footnote>
  <w:footnote w:type="continuationSeparator" w:id="0">
    <w:p w14:paraId="37049ED2" w14:textId="77777777" w:rsidR="00CA63B8" w:rsidRDefault="00CA63B8" w:rsidP="00422330">
      <w:pPr>
        <w:spacing w:after="0" w:line="240" w:lineRule="auto"/>
      </w:pPr>
      <w:r>
        <w:continuationSeparator/>
      </w:r>
    </w:p>
  </w:footnote>
  <w:footnote w:type="continuationNotice" w:id="1">
    <w:p w14:paraId="0B6CBDDD" w14:textId="77777777" w:rsidR="00CA63B8" w:rsidRDefault="00CA63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856" w14:textId="77777777" w:rsidR="00422330" w:rsidRDefault="00422330" w:rsidP="00A077CE">
    <w:pPr>
      <w:spacing w:after="0"/>
      <w:jc w:val="center"/>
      <w:rPr>
        <w:rFonts w:cstheme="minorHAnsi"/>
        <w:b/>
        <w:bCs/>
      </w:rPr>
    </w:pPr>
    <w:r>
      <w:rPr>
        <w:rFonts w:cstheme="minorHAnsi"/>
        <w:b/>
        <w:bCs/>
      </w:rPr>
      <w:t>OFFICE OF RESEARCH AND SPONSORED PROGRAMS</w:t>
    </w:r>
  </w:p>
  <w:p w14:paraId="7FD86B04" w14:textId="77777777" w:rsidR="00A077CE" w:rsidRDefault="00A077CE" w:rsidP="00A077CE">
    <w:pPr>
      <w:spacing w:after="0"/>
      <w:jc w:val="center"/>
      <w:rPr>
        <w:rFonts w:cstheme="minorHAnsi"/>
        <w:b/>
        <w:bCs/>
      </w:rPr>
    </w:pPr>
    <w:r w:rsidRPr="00D23EEE">
      <w:rPr>
        <w:rFonts w:cstheme="minorHAnsi"/>
        <w:b/>
        <w:bCs/>
      </w:rPr>
      <w:t>STANDARD OPERATING PROCEDURES</w:t>
    </w:r>
  </w:p>
  <w:p w14:paraId="1165EDEB" w14:textId="33994B35" w:rsidR="00422330" w:rsidRDefault="0039217C" w:rsidP="00A077CE">
    <w:pPr>
      <w:spacing w:after="0"/>
      <w:jc w:val="center"/>
      <w:rPr>
        <w:rFonts w:cstheme="minorHAnsi"/>
        <w:b/>
        <w:bCs/>
      </w:rPr>
    </w:pPr>
    <w:r>
      <w:rPr>
        <w:rFonts w:cstheme="minorHAnsi"/>
        <w:b/>
        <w:bCs/>
      </w:rPr>
      <w:t>SPONSOR PROJECT</w:t>
    </w:r>
    <w:r w:rsidR="00422330" w:rsidRPr="00D23EEE">
      <w:rPr>
        <w:rFonts w:cstheme="minorHAnsi"/>
        <w:b/>
        <w:bCs/>
      </w:rPr>
      <w:t xml:space="preserve"> FUNDED </w:t>
    </w:r>
    <w:r w:rsidR="00E72E66">
      <w:rPr>
        <w:rFonts w:cstheme="minorHAnsi"/>
        <w:b/>
        <w:bCs/>
      </w:rPr>
      <w:t>PERSONNEL SALARIES AND EFFORT</w:t>
    </w:r>
    <w:r w:rsidR="00422330" w:rsidRPr="00D23EEE">
      <w:rPr>
        <w:rFonts w:cstheme="minorHAnsi"/>
        <w:b/>
        <w:bCs/>
      </w:rPr>
      <w:t xml:space="preserve"> </w:t>
    </w:r>
  </w:p>
  <w:p w14:paraId="304D5D06" w14:textId="361E8790" w:rsidR="00943372" w:rsidRPr="00D23EEE" w:rsidRDefault="00943372" w:rsidP="00A077CE">
    <w:pPr>
      <w:spacing w:after="0"/>
      <w:jc w:val="center"/>
      <w:rPr>
        <w:rFonts w:cstheme="minorHAnsi"/>
        <w:b/>
        <w:bCs/>
      </w:rPr>
    </w:pPr>
    <w:r>
      <w:rPr>
        <w:rFonts w:cstheme="minorHAnsi"/>
        <w:b/>
        <w:bCs/>
      </w:rPr>
      <w:t>Updated (</w:t>
    </w:r>
    <w:r w:rsidR="00EF60A4">
      <w:rPr>
        <w:rFonts w:cstheme="minorHAnsi"/>
        <w:b/>
        <w:bCs/>
      </w:rPr>
      <w:t>May</w:t>
    </w:r>
    <w:r>
      <w:rPr>
        <w:rFonts w:cstheme="minorHAnsi"/>
        <w:b/>
        <w:bCs/>
      </w:rPr>
      <w:t xml:space="preserve"> 2023)</w:t>
    </w:r>
  </w:p>
  <w:p w14:paraId="49D204D0" w14:textId="77777777" w:rsidR="00422330" w:rsidRDefault="00422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3D1"/>
    <w:multiLevelType w:val="hybridMultilevel"/>
    <w:tmpl w:val="15D25D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B5D2944"/>
    <w:multiLevelType w:val="hybridMultilevel"/>
    <w:tmpl w:val="7CC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B27D8"/>
    <w:multiLevelType w:val="hybridMultilevel"/>
    <w:tmpl w:val="70746EBA"/>
    <w:lvl w:ilvl="0" w:tplc="39C21FF6">
      <w:start w:val="1"/>
      <w:numFmt w:val="bullet"/>
      <w:lvlText w:val=""/>
      <w:lvlJc w:val="left"/>
      <w:pPr>
        <w:ind w:left="720" w:hanging="360"/>
      </w:pPr>
      <w:rPr>
        <w:rFonts w:ascii="Symbol" w:hAnsi="Symbol" w:hint="default"/>
      </w:rPr>
    </w:lvl>
    <w:lvl w:ilvl="1" w:tplc="78745FA6">
      <w:start w:val="1"/>
      <w:numFmt w:val="bullet"/>
      <w:lvlText w:val="o"/>
      <w:lvlJc w:val="left"/>
      <w:pPr>
        <w:ind w:left="1440" w:hanging="360"/>
      </w:pPr>
      <w:rPr>
        <w:rFonts w:ascii="Courier New" w:hAnsi="Courier New" w:hint="default"/>
      </w:rPr>
    </w:lvl>
    <w:lvl w:ilvl="2" w:tplc="BD364A8C">
      <w:start w:val="1"/>
      <w:numFmt w:val="bullet"/>
      <w:lvlText w:val=""/>
      <w:lvlJc w:val="left"/>
      <w:pPr>
        <w:ind w:left="2160" w:hanging="360"/>
      </w:pPr>
      <w:rPr>
        <w:rFonts w:ascii="Wingdings" w:hAnsi="Wingdings" w:hint="default"/>
      </w:rPr>
    </w:lvl>
    <w:lvl w:ilvl="3" w:tplc="7220B218">
      <w:start w:val="1"/>
      <w:numFmt w:val="bullet"/>
      <w:lvlText w:val=""/>
      <w:lvlJc w:val="left"/>
      <w:pPr>
        <w:ind w:left="2880" w:hanging="360"/>
      </w:pPr>
      <w:rPr>
        <w:rFonts w:ascii="Symbol" w:hAnsi="Symbol" w:hint="default"/>
      </w:rPr>
    </w:lvl>
    <w:lvl w:ilvl="4" w:tplc="D368F23E">
      <w:start w:val="1"/>
      <w:numFmt w:val="bullet"/>
      <w:lvlText w:val="o"/>
      <w:lvlJc w:val="left"/>
      <w:pPr>
        <w:ind w:left="3600" w:hanging="360"/>
      </w:pPr>
      <w:rPr>
        <w:rFonts w:ascii="Courier New" w:hAnsi="Courier New" w:hint="default"/>
      </w:rPr>
    </w:lvl>
    <w:lvl w:ilvl="5" w:tplc="BDA294CA">
      <w:start w:val="1"/>
      <w:numFmt w:val="bullet"/>
      <w:lvlText w:val=""/>
      <w:lvlJc w:val="left"/>
      <w:pPr>
        <w:ind w:left="4320" w:hanging="360"/>
      </w:pPr>
      <w:rPr>
        <w:rFonts w:ascii="Wingdings" w:hAnsi="Wingdings" w:hint="default"/>
      </w:rPr>
    </w:lvl>
    <w:lvl w:ilvl="6" w:tplc="AC62ABEC">
      <w:start w:val="1"/>
      <w:numFmt w:val="bullet"/>
      <w:lvlText w:val=""/>
      <w:lvlJc w:val="left"/>
      <w:pPr>
        <w:ind w:left="5040" w:hanging="360"/>
      </w:pPr>
      <w:rPr>
        <w:rFonts w:ascii="Symbol" w:hAnsi="Symbol" w:hint="default"/>
      </w:rPr>
    </w:lvl>
    <w:lvl w:ilvl="7" w:tplc="1FBCC880">
      <w:start w:val="1"/>
      <w:numFmt w:val="bullet"/>
      <w:lvlText w:val="o"/>
      <w:lvlJc w:val="left"/>
      <w:pPr>
        <w:ind w:left="5760" w:hanging="360"/>
      </w:pPr>
      <w:rPr>
        <w:rFonts w:ascii="Courier New" w:hAnsi="Courier New" w:hint="default"/>
      </w:rPr>
    </w:lvl>
    <w:lvl w:ilvl="8" w:tplc="5D1C76AE">
      <w:start w:val="1"/>
      <w:numFmt w:val="bullet"/>
      <w:lvlText w:val=""/>
      <w:lvlJc w:val="left"/>
      <w:pPr>
        <w:ind w:left="6480" w:hanging="360"/>
      </w:pPr>
      <w:rPr>
        <w:rFonts w:ascii="Wingdings" w:hAnsi="Wingdings" w:hint="default"/>
      </w:rPr>
    </w:lvl>
  </w:abstractNum>
  <w:abstractNum w:abstractNumId="3" w15:restartNumberingAfterBreak="0">
    <w:nsid w:val="16A26E6B"/>
    <w:multiLevelType w:val="hybridMultilevel"/>
    <w:tmpl w:val="9DCE6EEA"/>
    <w:lvl w:ilvl="0" w:tplc="7F9E73D6">
      <w:start w:val="1"/>
      <w:numFmt w:val="bullet"/>
      <w:lvlText w:val=""/>
      <w:lvlJc w:val="left"/>
      <w:pPr>
        <w:ind w:left="720" w:hanging="360"/>
      </w:pPr>
      <w:rPr>
        <w:rFonts w:ascii="Symbol" w:hAnsi="Symbol" w:hint="default"/>
      </w:rPr>
    </w:lvl>
    <w:lvl w:ilvl="1" w:tplc="3F2E5B7C">
      <w:start w:val="1"/>
      <w:numFmt w:val="bullet"/>
      <w:lvlText w:val="o"/>
      <w:lvlJc w:val="left"/>
      <w:pPr>
        <w:ind w:left="1440" w:hanging="360"/>
      </w:pPr>
      <w:rPr>
        <w:rFonts w:ascii="Courier New" w:hAnsi="Courier New" w:hint="default"/>
      </w:rPr>
    </w:lvl>
    <w:lvl w:ilvl="2" w:tplc="F8A67A92">
      <w:start w:val="1"/>
      <w:numFmt w:val="bullet"/>
      <w:lvlText w:val=""/>
      <w:lvlJc w:val="left"/>
      <w:pPr>
        <w:ind w:left="2160" w:hanging="360"/>
      </w:pPr>
      <w:rPr>
        <w:rFonts w:ascii="Wingdings" w:hAnsi="Wingdings" w:hint="default"/>
      </w:rPr>
    </w:lvl>
    <w:lvl w:ilvl="3" w:tplc="B4FCDE6A">
      <w:start w:val="1"/>
      <w:numFmt w:val="bullet"/>
      <w:lvlText w:val=""/>
      <w:lvlJc w:val="left"/>
      <w:pPr>
        <w:ind w:left="2880" w:hanging="360"/>
      </w:pPr>
      <w:rPr>
        <w:rFonts w:ascii="Symbol" w:hAnsi="Symbol" w:hint="default"/>
      </w:rPr>
    </w:lvl>
    <w:lvl w:ilvl="4" w:tplc="4524C78A">
      <w:start w:val="1"/>
      <w:numFmt w:val="bullet"/>
      <w:lvlText w:val="o"/>
      <w:lvlJc w:val="left"/>
      <w:pPr>
        <w:ind w:left="3600" w:hanging="360"/>
      </w:pPr>
      <w:rPr>
        <w:rFonts w:ascii="Courier New" w:hAnsi="Courier New" w:hint="default"/>
      </w:rPr>
    </w:lvl>
    <w:lvl w:ilvl="5" w:tplc="8440358E">
      <w:start w:val="1"/>
      <w:numFmt w:val="bullet"/>
      <w:lvlText w:val=""/>
      <w:lvlJc w:val="left"/>
      <w:pPr>
        <w:ind w:left="4320" w:hanging="360"/>
      </w:pPr>
      <w:rPr>
        <w:rFonts w:ascii="Wingdings" w:hAnsi="Wingdings" w:hint="default"/>
      </w:rPr>
    </w:lvl>
    <w:lvl w:ilvl="6" w:tplc="EC2847C0">
      <w:start w:val="1"/>
      <w:numFmt w:val="bullet"/>
      <w:lvlText w:val=""/>
      <w:lvlJc w:val="left"/>
      <w:pPr>
        <w:ind w:left="5040" w:hanging="360"/>
      </w:pPr>
      <w:rPr>
        <w:rFonts w:ascii="Symbol" w:hAnsi="Symbol" w:hint="default"/>
      </w:rPr>
    </w:lvl>
    <w:lvl w:ilvl="7" w:tplc="1272DC54">
      <w:start w:val="1"/>
      <w:numFmt w:val="bullet"/>
      <w:lvlText w:val="o"/>
      <w:lvlJc w:val="left"/>
      <w:pPr>
        <w:ind w:left="5760" w:hanging="360"/>
      </w:pPr>
      <w:rPr>
        <w:rFonts w:ascii="Courier New" w:hAnsi="Courier New" w:hint="default"/>
      </w:rPr>
    </w:lvl>
    <w:lvl w:ilvl="8" w:tplc="03B6CB44">
      <w:start w:val="1"/>
      <w:numFmt w:val="bullet"/>
      <w:lvlText w:val=""/>
      <w:lvlJc w:val="left"/>
      <w:pPr>
        <w:ind w:left="6480" w:hanging="360"/>
      </w:pPr>
      <w:rPr>
        <w:rFonts w:ascii="Wingdings" w:hAnsi="Wingdings" w:hint="default"/>
      </w:rPr>
    </w:lvl>
  </w:abstractNum>
  <w:abstractNum w:abstractNumId="4" w15:restartNumberingAfterBreak="0">
    <w:nsid w:val="2176BF62"/>
    <w:multiLevelType w:val="hybridMultilevel"/>
    <w:tmpl w:val="1A3267BC"/>
    <w:lvl w:ilvl="0" w:tplc="09B6CDE6">
      <w:start w:val="1"/>
      <w:numFmt w:val="bullet"/>
      <w:lvlText w:val=""/>
      <w:lvlJc w:val="left"/>
      <w:pPr>
        <w:ind w:left="720" w:hanging="360"/>
      </w:pPr>
      <w:rPr>
        <w:rFonts w:ascii="Symbol" w:hAnsi="Symbol" w:hint="default"/>
      </w:rPr>
    </w:lvl>
    <w:lvl w:ilvl="1" w:tplc="74CE8A98">
      <w:start w:val="1"/>
      <w:numFmt w:val="bullet"/>
      <w:lvlText w:val="o"/>
      <w:lvlJc w:val="left"/>
      <w:pPr>
        <w:ind w:left="1440" w:hanging="360"/>
      </w:pPr>
      <w:rPr>
        <w:rFonts w:ascii="Courier New" w:hAnsi="Courier New" w:hint="default"/>
      </w:rPr>
    </w:lvl>
    <w:lvl w:ilvl="2" w:tplc="5A606C10">
      <w:start w:val="1"/>
      <w:numFmt w:val="bullet"/>
      <w:lvlText w:val=""/>
      <w:lvlJc w:val="left"/>
      <w:pPr>
        <w:ind w:left="2160" w:hanging="360"/>
      </w:pPr>
      <w:rPr>
        <w:rFonts w:ascii="Wingdings" w:hAnsi="Wingdings" w:hint="default"/>
      </w:rPr>
    </w:lvl>
    <w:lvl w:ilvl="3" w:tplc="206889F2">
      <w:start w:val="1"/>
      <w:numFmt w:val="bullet"/>
      <w:lvlText w:val=""/>
      <w:lvlJc w:val="left"/>
      <w:pPr>
        <w:ind w:left="2880" w:hanging="360"/>
      </w:pPr>
      <w:rPr>
        <w:rFonts w:ascii="Symbol" w:hAnsi="Symbol" w:hint="default"/>
      </w:rPr>
    </w:lvl>
    <w:lvl w:ilvl="4" w:tplc="8FA40332">
      <w:start w:val="1"/>
      <w:numFmt w:val="bullet"/>
      <w:lvlText w:val="o"/>
      <w:lvlJc w:val="left"/>
      <w:pPr>
        <w:ind w:left="3600" w:hanging="360"/>
      </w:pPr>
      <w:rPr>
        <w:rFonts w:ascii="Courier New" w:hAnsi="Courier New" w:hint="default"/>
      </w:rPr>
    </w:lvl>
    <w:lvl w:ilvl="5" w:tplc="D53A991A">
      <w:start w:val="1"/>
      <w:numFmt w:val="bullet"/>
      <w:lvlText w:val=""/>
      <w:lvlJc w:val="left"/>
      <w:pPr>
        <w:ind w:left="4320" w:hanging="360"/>
      </w:pPr>
      <w:rPr>
        <w:rFonts w:ascii="Wingdings" w:hAnsi="Wingdings" w:hint="default"/>
      </w:rPr>
    </w:lvl>
    <w:lvl w:ilvl="6" w:tplc="123A7ABE">
      <w:start w:val="1"/>
      <w:numFmt w:val="bullet"/>
      <w:lvlText w:val=""/>
      <w:lvlJc w:val="left"/>
      <w:pPr>
        <w:ind w:left="5040" w:hanging="360"/>
      </w:pPr>
      <w:rPr>
        <w:rFonts w:ascii="Symbol" w:hAnsi="Symbol" w:hint="default"/>
      </w:rPr>
    </w:lvl>
    <w:lvl w:ilvl="7" w:tplc="4FFE3C12">
      <w:start w:val="1"/>
      <w:numFmt w:val="bullet"/>
      <w:lvlText w:val="o"/>
      <w:lvlJc w:val="left"/>
      <w:pPr>
        <w:ind w:left="5760" w:hanging="360"/>
      </w:pPr>
      <w:rPr>
        <w:rFonts w:ascii="Courier New" w:hAnsi="Courier New" w:hint="default"/>
      </w:rPr>
    </w:lvl>
    <w:lvl w:ilvl="8" w:tplc="E98C5A58">
      <w:start w:val="1"/>
      <w:numFmt w:val="bullet"/>
      <w:lvlText w:val=""/>
      <w:lvlJc w:val="left"/>
      <w:pPr>
        <w:ind w:left="6480" w:hanging="360"/>
      </w:pPr>
      <w:rPr>
        <w:rFonts w:ascii="Wingdings" w:hAnsi="Wingdings" w:hint="default"/>
      </w:rPr>
    </w:lvl>
  </w:abstractNum>
  <w:abstractNum w:abstractNumId="5" w15:restartNumberingAfterBreak="0">
    <w:nsid w:val="3C886CE0"/>
    <w:multiLevelType w:val="hybridMultilevel"/>
    <w:tmpl w:val="314A5C46"/>
    <w:lvl w:ilvl="0" w:tplc="40F669C2">
      <w:start w:val="1"/>
      <w:numFmt w:val="bullet"/>
      <w:lvlText w:val=""/>
      <w:lvlJc w:val="left"/>
      <w:pPr>
        <w:ind w:left="720" w:hanging="360"/>
      </w:pPr>
      <w:rPr>
        <w:rFonts w:ascii="Symbol" w:hAnsi="Symbol" w:hint="default"/>
      </w:rPr>
    </w:lvl>
    <w:lvl w:ilvl="1" w:tplc="A376864C">
      <w:start w:val="1"/>
      <w:numFmt w:val="bullet"/>
      <w:lvlText w:val="o"/>
      <w:lvlJc w:val="left"/>
      <w:pPr>
        <w:ind w:left="1440" w:hanging="360"/>
      </w:pPr>
      <w:rPr>
        <w:rFonts w:ascii="Courier New" w:hAnsi="Courier New" w:hint="default"/>
      </w:rPr>
    </w:lvl>
    <w:lvl w:ilvl="2" w:tplc="8D3A8046">
      <w:start w:val="1"/>
      <w:numFmt w:val="bullet"/>
      <w:lvlText w:val=""/>
      <w:lvlJc w:val="left"/>
      <w:pPr>
        <w:ind w:left="2160" w:hanging="360"/>
      </w:pPr>
      <w:rPr>
        <w:rFonts w:ascii="Wingdings" w:hAnsi="Wingdings" w:hint="default"/>
      </w:rPr>
    </w:lvl>
    <w:lvl w:ilvl="3" w:tplc="8D429646">
      <w:start w:val="1"/>
      <w:numFmt w:val="bullet"/>
      <w:lvlText w:val=""/>
      <w:lvlJc w:val="left"/>
      <w:pPr>
        <w:ind w:left="2880" w:hanging="360"/>
      </w:pPr>
      <w:rPr>
        <w:rFonts w:ascii="Symbol" w:hAnsi="Symbol" w:hint="default"/>
      </w:rPr>
    </w:lvl>
    <w:lvl w:ilvl="4" w:tplc="9E76B494">
      <w:start w:val="1"/>
      <w:numFmt w:val="bullet"/>
      <w:lvlText w:val="o"/>
      <w:lvlJc w:val="left"/>
      <w:pPr>
        <w:ind w:left="3600" w:hanging="360"/>
      </w:pPr>
      <w:rPr>
        <w:rFonts w:ascii="Courier New" w:hAnsi="Courier New" w:hint="default"/>
      </w:rPr>
    </w:lvl>
    <w:lvl w:ilvl="5" w:tplc="05F607DC">
      <w:start w:val="1"/>
      <w:numFmt w:val="bullet"/>
      <w:lvlText w:val=""/>
      <w:lvlJc w:val="left"/>
      <w:pPr>
        <w:ind w:left="4320" w:hanging="360"/>
      </w:pPr>
      <w:rPr>
        <w:rFonts w:ascii="Wingdings" w:hAnsi="Wingdings" w:hint="default"/>
      </w:rPr>
    </w:lvl>
    <w:lvl w:ilvl="6" w:tplc="DDEADEAC">
      <w:start w:val="1"/>
      <w:numFmt w:val="bullet"/>
      <w:lvlText w:val=""/>
      <w:lvlJc w:val="left"/>
      <w:pPr>
        <w:ind w:left="5040" w:hanging="360"/>
      </w:pPr>
      <w:rPr>
        <w:rFonts w:ascii="Symbol" w:hAnsi="Symbol" w:hint="default"/>
      </w:rPr>
    </w:lvl>
    <w:lvl w:ilvl="7" w:tplc="0ECABE6E">
      <w:start w:val="1"/>
      <w:numFmt w:val="bullet"/>
      <w:lvlText w:val="o"/>
      <w:lvlJc w:val="left"/>
      <w:pPr>
        <w:ind w:left="5760" w:hanging="360"/>
      </w:pPr>
      <w:rPr>
        <w:rFonts w:ascii="Courier New" w:hAnsi="Courier New" w:hint="default"/>
      </w:rPr>
    </w:lvl>
    <w:lvl w:ilvl="8" w:tplc="1D165324">
      <w:start w:val="1"/>
      <w:numFmt w:val="bullet"/>
      <w:lvlText w:val=""/>
      <w:lvlJc w:val="left"/>
      <w:pPr>
        <w:ind w:left="6480" w:hanging="360"/>
      </w:pPr>
      <w:rPr>
        <w:rFonts w:ascii="Wingdings" w:hAnsi="Wingdings" w:hint="default"/>
      </w:rPr>
    </w:lvl>
  </w:abstractNum>
  <w:abstractNum w:abstractNumId="6" w15:restartNumberingAfterBreak="0">
    <w:nsid w:val="3EEF202C"/>
    <w:multiLevelType w:val="hybridMultilevel"/>
    <w:tmpl w:val="CF18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9297A"/>
    <w:multiLevelType w:val="hybridMultilevel"/>
    <w:tmpl w:val="BF883708"/>
    <w:lvl w:ilvl="0" w:tplc="785E0A28">
      <w:start w:val="1"/>
      <w:numFmt w:val="bullet"/>
      <w:lvlText w:val=""/>
      <w:lvlJc w:val="left"/>
      <w:pPr>
        <w:ind w:left="720" w:hanging="360"/>
      </w:pPr>
      <w:rPr>
        <w:rFonts w:ascii="Symbol" w:hAnsi="Symbol" w:hint="default"/>
      </w:rPr>
    </w:lvl>
    <w:lvl w:ilvl="1" w:tplc="02141448">
      <w:start w:val="1"/>
      <w:numFmt w:val="bullet"/>
      <w:lvlText w:val="o"/>
      <w:lvlJc w:val="left"/>
      <w:pPr>
        <w:ind w:left="1440" w:hanging="360"/>
      </w:pPr>
      <w:rPr>
        <w:rFonts w:ascii="Courier New" w:hAnsi="Courier New" w:hint="default"/>
      </w:rPr>
    </w:lvl>
    <w:lvl w:ilvl="2" w:tplc="92B21E48">
      <w:start w:val="1"/>
      <w:numFmt w:val="bullet"/>
      <w:lvlText w:val=""/>
      <w:lvlJc w:val="left"/>
      <w:pPr>
        <w:ind w:left="2160" w:hanging="360"/>
      </w:pPr>
      <w:rPr>
        <w:rFonts w:ascii="Wingdings" w:hAnsi="Wingdings" w:hint="default"/>
      </w:rPr>
    </w:lvl>
    <w:lvl w:ilvl="3" w:tplc="23B2EB10">
      <w:start w:val="1"/>
      <w:numFmt w:val="bullet"/>
      <w:lvlText w:val=""/>
      <w:lvlJc w:val="left"/>
      <w:pPr>
        <w:ind w:left="2880" w:hanging="360"/>
      </w:pPr>
      <w:rPr>
        <w:rFonts w:ascii="Symbol" w:hAnsi="Symbol" w:hint="default"/>
      </w:rPr>
    </w:lvl>
    <w:lvl w:ilvl="4" w:tplc="55947420">
      <w:start w:val="1"/>
      <w:numFmt w:val="bullet"/>
      <w:lvlText w:val="o"/>
      <w:lvlJc w:val="left"/>
      <w:pPr>
        <w:ind w:left="3600" w:hanging="360"/>
      </w:pPr>
      <w:rPr>
        <w:rFonts w:ascii="Courier New" w:hAnsi="Courier New" w:hint="default"/>
      </w:rPr>
    </w:lvl>
    <w:lvl w:ilvl="5" w:tplc="5F304C50">
      <w:start w:val="1"/>
      <w:numFmt w:val="bullet"/>
      <w:lvlText w:val=""/>
      <w:lvlJc w:val="left"/>
      <w:pPr>
        <w:ind w:left="4320" w:hanging="360"/>
      </w:pPr>
      <w:rPr>
        <w:rFonts w:ascii="Wingdings" w:hAnsi="Wingdings" w:hint="default"/>
      </w:rPr>
    </w:lvl>
    <w:lvl w:ilvl="6" w:tplc="0FD24DA6">
      <w:start w:val="1"/>
      <w:numFmt w:val="bullet"/>
      <w:lvlText w:val=""/>
      <w:lvlJc w:val="left"/>
      <w:pPr>
        <w:ind w:left="5040" w:hanging="360"/>
      </w:pPr>
      <w:rPr>
        <w:rFonts w:ascii="Symbol" w:hAnsi="Symbol" w:hint="default"/>
      </w:rPr>
    </w:lvl>
    <w:lvl w:ilvl="7" w:tplc="68028C82">
      <w:start w:val="1"/>
      <w:numFmt w:val="bullet"/>
      <w:lvlText w:val="o"/>
      <w:lvlJc w:val="left"/>
      <w:pPr>
        <w:ind w:left="5760" w:hanging="360"/>
      </w:pPr>
      <w:rPr>
        <w:rFonts w:ascii="Courier New" w:hAnsi="Courier New" w:hint="default"/>
      </w:rPr>
    </w:lvl>
    <w:lvl w:ilvl="8" w:tplc="ED047028">
      <w:start w:val="1"/>
      <w:numFmt w:val="bullet"/>
      <w:lvlText w:val=""/>
      <w:lvlJc w:val="left"/>
      <w:pPr>
        <w:ind w:left="6480" w:hanging="360"/>
      </w:pPr>
      <w:rPr>
        <w:rFonts w:ascii="Wingdings" w:hAnsi="Wingdings" w:hint="default"/>
      </w:rPr>
    </w:lvl>
  </w:abstractNum>
  <w:abstractNum w:abstractNumId="8" w15:restartNumberingAfterBreak="0">
    <w:nsid w:val="60113301"/>
    <w:multiLevelType w:val="hybridMultilevel"/>
    <w:tmpl w:val="D6AC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4EB46"/>
    <w:multiLevelType w:val="hybridMultilevel"/>
    <w:tmpl w:val="A43AC16E"/>
    <w:lvl w:ilvl="0" w:tplc="26362758">
      <w:start w:val="1"/>
      <w:numFmt w:val="bullet"/>
      <w:lvlText w:val=""/>
      <w:lvlJc w:val="left"/>
      <w:pPr>
        <w:ind w:left="720" w:hanging="360"/>
      </w:pPr>
      <w:rPr>
        <w:rFonts w:ascii="Symbol" w:hAnsi="Symbol" w:hint="default"/>
      </w:rPr>
    </w:lvl>
    <w:lvl w:ilvl="1" w:tplc="ADBA2CFA">
      <w:start w:val="1"/>
      <w:numFmt w:val="bullet"/>
      <w:lvlText w:val="o"/>
      <w:lvlJc w:val="left"/>
      <w:pPr>
        <w:ind w:left="1440" w:hanging="360"/>
      </w:pPr>
      <w:rPr>
        <w:rFonts w:ascii="Courier New" w:hAnsi="Courier New" w:hint="default"/>
      </w:rPr>
    </w:lvl>
    <w:lvl w:ilvl="2" w:tplc="D012024E">
      <w:start w:val="1"/>
      <w:numFmt w:val="bullet"/>
      <w:lvlText w:val=""/>
      <w:lvlJc w:val="left"/>
      <w:pPr>
        <w:ind w:left="2160" w:hanging="360"/>
      </w:pPr>
      <w:rPr>
        <w:rFonts w:ascii="Wingdings" w:hAnsi="Wingdings" w:hint="default"/>
      </w:rPr>
    </w:lvl>
    <w:lvl w:ilvl="3" w:tplc="CAE4377C">
      <w:start w:val="1"/>
      <w:numFmt w:val="bullet"/>
      <w:lvlText w:val=""/>
      <w:lvlJc w:val="left"/>
      <w:pPr>
        <w:ind w:left="2880" w:hanging="360"/>
      </w:pPr>
      <w:rPr>
        <w:rFonts w:ascii="Symbol" w:hAnsi="Symbol" w:hint="default"/>
      </w:rPr>
    </w:lvl>
    <w:lvl w:ilvl="4" w:tplc="FA7C21F4">
      <w:start w:val="1"/>
      <w:numFmt w:val="bullet"/>
      <w:lvlText w:val="o"/>
      <w:lvlJc w:val="left"/>
      <w:pPr>
        <w:ind w:left="3600" w:hanging="360"/>
      </w:pPr>
      <w:rPr>
        <w:rFonts w:ascii="Courier New" w:hAnsi="Courier New" w:hint="default"/>
      </w:rPr>
    </w:lvl>
    <w:lvl w:ilvl="5" w:tplc="EE860A26">
      <w:start w:val="1"/>
      <w:numFmt w:val="bullet"/>
      <w:lvlText w:val=""/>
      <w:lvlJc w:val="left"/>
      <w:pPr>
        <w:ind w:left="4320" w:hanging="360"/>
      </w:pPr>
      <w:rPr>
        <w:rFonts w:ascii="Wingdings" w:hAnsi="Wingdings" w:hint="default"/>
      </w:rPr>
    </w:lvl>
    <w:lvl w:ilvl="6" w:tplc="A9849928">
      <w:start w:val="1"/>
      <w:numFmt w:val="bullet"/>
      <w:lvlText w:val=""/>
      <w:lvlJc w:val="left"/>
      <w:pPr>
        <w:ind w:left="5040" w:hanging="360"/>
      </w:pPr>
      <w:rPr>
        <w:rFonts w:ascii="Symbol" w:hAnsi="Symbol" w:hint="default"/>
      </w:rPr>
    </w:lvl>
    <w:lvl w:ilvl="7" w:tplc="3E244F28">
      <w:start w:val="1"/>
      <w:numFmt w:val="bullet"/>
      <w:lvlText w:val="o"/>
      <w:lvlJc w:val="left"/>
      <w:pPr>
        <w:ind w:left="5760" w:hanging="360"/>
      </w:pPr>
      <w:rPr>
        <w:rFonts w:ascii="Courier New" w:hAnsi="Courier New" w:hint="default"/>
      </w:rPr>
    </w:lvl>
    <w:lvl w:ilvl="8" w:tplc="38FA5F1A">
      <w:start w:val="1"/>
      <w:numFmt w:val="bullet"/>
      <w:lvlText w:val=""/>
      <w:lvlJc w:val="left"/>
      <w:pPr>
        <w:ind w:left="6480" w:hanging="360"/>
      </w:pPr>
      <w:rPr>
        <w:rFonts w:ascii="Wingdings" w:hAnsi="Wingdings" w:hint="default"/>
      </w:rPr>
    </w:lvl>
  </w:abstractNum>
  <w:abstractNum w:abstractNumId="10" w15:restartNumberingAfterBreak="0">
    <w:nsid w:val="717020CD"/>
    <w:multiLevelType w:val="hybridMultilevel"/>
    <w:tmpl w:val="2DA6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A57A3"/>
    <w:multiLevelType w:val="hybridMultilevel"/>
    <w:tmpl w:val="9496B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5905411">
    <w:abstractNumId w:val="4"/>
  </w:num>
  <w:num w:numId="2" w16cid:durableId="1743214507">
    <w:abstractNumId w:val="9"/>
  </w:num>
  <w:num w:numId="3" w16cid:durableId="1561672468">
    <w:abstractNumId w:val="10"/>
  </w:num>
  <w:num w:numId="4" w16cid:durableId="733503283">
    <w:abstractNumId w:val="0"/>
  </w:num>
  <w:num w:numId="5" w16cid:durableId="321391159">
    <w:abstractNumId w:val="7"/>
  </w:num>
  <w:num w:numId="6" w16cid:durableId="467668200">
    <w:abstractNumId w:val="3"/>
  </w:num>
  <w:num w:numId="7" w16cid:durableId="1257791222">
    <w:abstractNumId w:val="5"/>
  </w:num>
  <w:num w:numId="8" w16cid:durableId="1438451793">
    <w:abstractNumId w:val="2"/>
  </w:num>
  <w:num w:numId="9" w16cid:durableId="1112360123">
    <w:abstractNumId w:val="6"/>
  </w:num>
  <w:num w:numId="10" w16cid:durableId="1845197484">
    <w:abstractNumId w:val="1"/>
  </w:num>
  <w:num w:numId="11" w16cid:durableId="2057969058">
    <w:abstractNumId w:val="8"/>
  </w:num>
  <w:num w:numId="12" w16cid:durableId="288168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800"/>
    <w:rsid w:val="0005645F"/>
    <w:rsid w:val="0009680A"/>
    <w:rsid w:val="000A1A72"/>
    <w:rsid w:val="000E6509"/>
    <w:rsid w:val="00103957"/>
    <w:rsid w:val="00121B9C"/>
    <w:rsid w:val="00130649"/>
    <w:rsid w:val="00136163"/>
    <w:rsid w:val="0014143F"/>
    <w:rsid w:val="001526E9"/>
    <w:rsid w:val="00162E49"/>
    <w:rsid w:val="0016391D"/>
    <w:rsid w:val="001E5F8F"/>
    <w:rsid w:val="00252698"/>
    <w:rsid w:val="002559AA"/>
    <w:rsid w:val="00255A59"/>
    <w:rsid w:val="00261310"/>
    <w:rsid w:val="00291D47"/>
    <w:rsid w:val="002A6B7C"/>
    <w:rsid w:val="002D4ADA"/>
    <w:rsid w:val="002D5E95"/>
    <w:rsid w:val="002F0955"/>
    <w:rsid w:val="00306B9D"/>
    <w:rsid w:val="003217DD"/>
    <w:rsid w:val="00323F58"/>
    <w:rsid w:val="003371CE"/>
    <w:rsid w:val="003614E0"/>
    <w:rsid w:val="0037188E"/>
    <w:rsid w:val="00384944"/>
    <w:rsid w:val="00384D12"/>
    <w:rsid w:val="0039217C"/>
    <w:rsid w:val="003A0EB5"/>
    <w:rsid w:val="003A3A97"/>
    <w:rsid w:val="003B6BF2"/>
    <w:rsid w:val="003C126B"/>
    <w:rsid w:val="003E5195"/>
    <w:rsid w:val="003F0FBD"/>
    <w:rsid w:val="00422330"/>
    <w:rsid w:val="00426F60"/>
    <w:rsid w:val="00431ADB"/>
    <w:rsid w:val="00455562"/>
    <w:rsid w:val="00467E37"/>
    <w:rsid w:val="00476A55"/>
    <w:rsid w:val="004801C9"/>
    <w:rsid w:val="00480C2D"/>
    <w:rsid w:val="0048337F"/>
    <w:rsid w:val="004B2598"/>
    <w:rsid w:val="004E6873"/>
    <w:rsid w:val="00501328"/>
    <w:rsid w:val="00512F38"/>
    <w:rsid w:val="00513B66"/>
    <w:rsid w:val="005172D6"/>
    <w:rsid w:val="0054019B"/>
    <w:rsid w:val="00541527"/>
    <w:rsid w:val="00543482"/>
    <w:rsid w:val="00553D73"/>
    <w:rsid w:val="00556708"/>
    <w:rsid w:val="0056158C"/>
    <w:rsid w:val="005955A0"/>
    <w:rsid w:val="0059709A"/>
    <w:rsid w:val="005D3EEF"/>
    <w:rsid w:val="005E0813"/>
    <w:rsid w:val="005E1959"/>
    <w:rsid w:val="006229F0"/>
    <w:rsid w:val="00624EA0"/>
    <w:rsid w:val="00630A09"/>
    <w:rsid w:val="00631511"/>
    <w:rsid w:val="0068161C"/>
    <w:rsid w:val="006922DB"/>
    <w:rsid w:val="00695712"/>
    <w:rsid w:val="006C7E02"/>
    <w:rsid w:val="00721047"/>
    <w:rsid w:val="007750A0"/>
    <w:rsid w:val="00780FD0"/>
    <w:rsid w:val="007A052B"/>
    <w:rsid w:val="007A3510"/>
    <w:rsid w:val="007A6BBE"/>
    <w:rsid w:val="007C4A3E"/>
    <w:rsid w:val="007D00B7"/>
    <w:rsid w:val="007D7316"/>
    <w:rsid w:val="007E6416"/>
    <w:rsid w:val="007F249D"/>
    <w:rsid w:val="007F5653"/>
    <w:rsid w:val="007F5B20"/>
    <w:rsid w:val="007F5EEE"/>
    <w:rsid w:val="0082059E"/>
    <w:rsid w:val="00822C17"/>
    <w:rsid w:val="0082325F"/>
    <w:rsid w:val="008337EB"/>
    <w:rsid w:val="008349CC"/>
    <w:rsid w:val="00854FB4"/>
    <w:rsid w:val="008D172F"/>
    <w:rsid w:val="008D31A7"/>
    <w:rsid w:val="008E45E1"/>
    <w:rsid w:val="00932560"/>
    <w:rsid w:val="00943372"/>
    <w:rsid w:val="009519FB"/>
    <w:rsid w:val="0097672D"/>
    <w:rsid w:val="0098517F"/>
    <w:rsid w:val="00993C2A"/>
    <w:rsid w:val="009976B4"/>
    <w:rsid w:val="009C1759"/>
    <w:rsid w:val="009F089D"/>
    <w:rsid w:val="009F7EE1"/>
    <w:rsid w:val="00A05FA0"/>
    <w:rsid w:val="00A077CE"/>
    <w:rsid w:val="00A10A60"/>
    <w:rsid w:val="00A14C49"/>
    <w:rsid w:val="00A61244"/>
    <w:rsid w:val="00A64894"/>
    <w:rsid w:val="00A66247"/>
    <w:rsid w:val="00A71941"/>
    <w:rsid w:val="00A749A1"/>
    <w:rsid w:val="00A75ED4"/>
    <w:rsid w:val="00AC1D04"/>
    <w:rsid w:val="00AC7282"/>
    <w:rsid w:val="00AF5664"/>
    <w:rsid w:val="00B042E7"/>
    <w:rsid w:val="00B257D8"/>
    <w:rsid w:val="00B54A25"/>
    <w:rsid w:val="00BD2811"/>
    <w:rsid w:val="00C16141"/>
    <w:rsid w:val="00C22E75"/>
    <w:rsid w:val="00C27F6D"/>
    <w:rsid w:val="00C6AACB"/>
    <w:rsid w:val="00CA63B8"/>
    <w:rsid w:val="00CA7F71"/>
    <w:rsid w:val="00CE3570"/>
    <w:rsid w:val="00CE3B99"/>
    <w:rsid w:val="00D03DE5"/>
    <w:rsid w:val="00D21439"/>
    <w:rsid w:val="00D22785"/>
    <w:rsid w:val="00D23EEE"/>
    <w:rsid w:val="00D811B2"/>
    <w:rsid w:val="00D9735D"/>
    <w:rsid w:val="00DA1381"/>
    <w:rsid w:val="00DA1B73"/>
    <w:rsid w:val="00DA31E1"/>
    <w:rsid w:val="00DB6164"/>
    <w:rsid w:val="00DC236C"/>
    <w:rsid w:val="00DD2587"/>
    <w:rsid w:val="00DF0946"/>
    <w:rsid w:val="00DF21A9"/>
    <w:rsid w:val="00DF3800"/>
    <w:rsid w:val="00DF7344"/>
    <w:rsid w:val="00E144AB"/>
    <w:rsid w:val="00E32A59"/>
    <w:rsid w:val="00E46834"/>
    <w:rsid w:val="00E50323"/>
    <w:rsid w:val="00E51236"/>
    <w:rsid w:val="00E52551"/>
    <w:rsid w:val="00E54F83"/>
    <w:rsid w:val="00E57B53"/>
    <w:rsid w:val="00E72E66"/>
    <w:rsid w:val="00E8193E"/>
    <w:rsid w:val="00E943E6"/>
    <w:rsid w:val="00ED1CAB"/>
    <w:rsid w:val="00EF60A4"/>
    <w:rsid w:val="00EF6A95"/>
    <w:rsid w:val="00F0361C"/>
    <w:rsid w:val="00F16CA9"/>
    <w:rsid w:val="00F47129"/>
    <w:rsid w:val="00F52B57"/>
    <w:rsid w:val="00F70A2D"/>
    <w:rsid w:val="00FB5E7A"/>
    <w:rsid w:val="00FD6B59"/>
    <w:rsid w:val="00FF1111"/>
    <w:rsid w:val="0394C05E"/>
    <w:rsid w:val="04CD9501"/>
    <w:rsid w:val="0502B1DF"/>
    <w:rsid w:val="0C4A9BB0"/>
    <w:rsid w:val="0D224F79"/>
    <w:rsid w:val="0F7ED1E6"/>
    <w:rsid w:val="0FA4EF89"/>
    <w:rsid w:val="111AA247"/>
    <w:rsid w:val="113E2301"/>
    <w:rsid w:val="13D006A6"/>
    <w:rsid w:val="147860AC"/>
    <w:rsid w:val="16AA8E3B"/>
    <w:rsid w:val="1826AAAF"/>
    <w:rsid w:val="1867E8ED"/>
    <w:rsid w:val="1875D71A"/>
    <w:rsid w:val="1AE99A3A"/>
    <w:rsid w:val="1C837291"/>
    <w:rsid w:val="1D11249F"/>
    <w:rsid w:val="1D3B5A10"/>
    <w:rsid w:val="1D3DE3D1"/>
    <w:rsid w:val="1EB7BEBE"/>
    <w:rsid w:val="1ED72A71"/>
    <w:rsid w:val="229318A2"/>
    <w:rsid w:val="22BDC318"/>
    <w:rsid w:val="23AA9B94"/>
    <w:rsid w:val="25374301"/>
    <w:rsid w:val="2AF1FF62"/>
    <w:rsid w:val="2C13C53C"/>
    <w:rsid w:val="2C4B0554"/>
    <w:rsid w:val="2CD1B746"/>
    <w:rsid w:val="2E9CF06C"/>
    <w:rsid w:val="2F3C383A"/>
    <w:rsid w:val="33353F5E"/>
    <w:rsid w:val="33B046B2"/>
    <w:rsid w:val="3424449B"/>
    <w:rsid w:val="34A1E605"/>
    <w:rsid w:val="3B0A9B78"/>
    <w:rsid w:val="3B769B9C"/>
    <w:rsid w:val="42346FA1"/>
    <w:rsid w:val="42A81EBA"/>
    <w:rsid w:val="42DC5CA5"/>
    <w:rsid w:val="440183C5"/>
    <w:rsid w:val="44EAA53E"/>
    <w:rsid w:val="4538F665"/>
    <w:rsid w:val="459D5426"/>
    <w:rsid w:val="45E4D068"/>
    <w:rsid w:val="45F9AEFF"/>
    <w:rsid w:val="47F10C06"/>
    <w:rsid w:val="489B0605"/>
    <w:rsid w:val="4961B402"/>
    <w:rsid w:val="498CDC67"/>
    <w:rsid w:val="4F6D7965"/>
    <w:rsid w:val="4FCEAFF5"/>
    <w:rsid w:val="5378509E"/>
    <w:rsid w:val="538A5FB2"/>
    <w:rsid w:val="55463944"/>
    <w:rsid w:val="56ADCEC9"/>
    <w:rsid w:val="57A1002F"/>
    <w:rsid w:val="58478D43"/>
    <w:rsid w:val="5915B854"/>
    <w:rsid w:val="5BE76F83"/>
    <w:rsid w:val="5C5ADA5F"/>
    <w:rsid w:val="5C7B66A4"/>
    <w:rsid w:val="5FED6CAB"/>
    <w:rsid w:val="6165BE42"/>
    <w:rsid w:val="61D0C52D"/>
    <w:rsid w:val="62702A81"/>
    <w:rsid w:val="62E1FD08"/>
    <w:rsid w:val="62F8760E"/>
    <w:rsid w:val="63536D31"/>
    <w:rsid w:val="64EF3D92"/>
    <w:rsid w:val="67422651"/>
    <w:rsid w:val="6CE034D2"/>
    <w:rsid w:val="6D342E37"/>
    <w:rsid w:val="6FB5CF4D"/>
    <w:rsid w:val="71AB1F35"/>
    <w:rsid w:val="7285A819"/>
    <w:rsid w:val="7477D71C"/>
    <w:rsid w:val="76E97A0D"/>
    <w:rsid w:val="774D6C8F"/>
    <w:rsid w:val="7755AEB0"/>
    <w:rsid w:val="784CF99D"/>
    <w:rsid w:val="78F17F11"/>
    <w:rsid w:val="78F4E99D"/>
    <w:rsid w:val="7A90B9FE"/>
    <w:rsid w:val="7C639737"/>
    <w:rsid w:val="7DFB77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4F83"/>
  <w15:chartTrackingRefBased/>
  <w15:docId w15:val="{7DE9494E-D32D-4AB9-8181-39D995E6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7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C7E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C7E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E0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C7E02"/>
    <w:rPr>
      <w:rFonts w:ascii="Times New Roman" w:eastAsia="Times New Roman" w:hAnsi="Times New Roman" w:cs="Times New Roman"/>
      <w:b/>
      <w:bCs/>
      <w:sz w:val="27"/>
      <w:szCs w:val="27"/>
    </w:rPr>
  </w:style>
  <w:style w:type="character" w:styleId="Strong">
    <w:name w:val="Strong"/>
    <w:basedOn w:val="DefaultParagraphFont"/>
    <w:uiPriority w:val="22"/>
    <w:qFormat/>
    <w:rsid w:val="006C7E02"/>
    <w:rPr>
      <w:b/>
      <w:bCs/>
    </w:rPr>
  </w:style>
  <w:style w:type="paragraph" w:styleId="NormalWeb">
    <w:name w:val="Normal (Web)"/>
    <w:basedOn w:val="Normal"/>
    <w:uiPriority w:val="99"/>
    <w:semiHidden/>
    <w:unhideWhenUsed/>
    <w:rsid w:val="006C7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C7E02"/>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6C7E02"/>
    <w:rPr>
      <w:i/>
      <w:iCs/>
    </w:rPr>
  </w:style>
  <w:style w:type="character" w:styleId="Hyperlink">
    <w:name w:val="Hyperlink"/>
    <w:basedOn w:val="DefaultParagraphFont"/>
    <w:uiPriority w:val="99"/>
    <w:unhideWhenUsed/>
    <w:rsid w:val="006C7E02"/>
    <w:rPr>
      <w:color w:val="0000FF"/>
      <w:u w:val="single"/>
    </w:rPr>
  </w:style>
  <w:style w:type="paragraph" w:styleId="BalloonText">
    <w:name w:val="Balloon Text"/>
    <w:basedOn w:val="Normal"/>
    <w:link w:val="BalloonTextChar"/>
    <w:uiPriority w:val="99"/>
    <w:semiHidden/>
    <w:unhideWhenUsed/>
    <w:rsid w:val="00306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B9D"/>
    <w:rPr>
      <w:rFonts w:ascii="Segoe UI" w:hAnsi="Segoe UI" w:cs="Segoe UI"/>
      <w:sz w:val="18"/>
      <w:szCs w:val="18"/>
    </w:rPr>
  </w:style>
  <w:style w:type="paragraph" w:styleId="ListParagraph">
    <w:name w:val="List Paragraph"/>
    <w:basedOn w:val="Normal"/>
    <w:uiPriority w:val="34"/>
    <w:qFormat/>
    <w:rsid w:val="00AC1D04"/>
    <w:pPr>
      <w:ind w:left="720"/>
      <w:contextualSpacing/>
    </w:pPr>
  </w:style>
  <w:style w:type="paragraph" w:styleId="Header">
    <w:name w:val="header"/>
    <w:basedOn w:val="Normal"/>
    <w:link w:val="HeaderChar"/>
    <w:uiPriority w:val="99"/>
    <w:unhideWhenUsed/>
    <w:rsid w:val="0042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330"/>
  </w:style>
  <w:style w:type="paragraph" w:styleId="Footer">
    <w:name w:val="footer"/>
    <w:basedOn w:val="Normal"/>
    <w:link w:val="FooterChar"/>
    <w:uiPriority w:val="99"/>
    <w:unhideWhenUsed/>
    <w:rsid w:val="0042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330"/>
  </w:style>
  <w:style w:type="paragraph" w:styleId="Revision">
    <w:name w:val="Revision"/>
    <w:hidden/>
    <w:uiPriority w:val="99"/>
    <w:semiHidden/>
    <w:rsid w:val="005E0813"/>
    <w:pPr>
      <w:spacing w:after="0" w:line="240" w:lineRule="auto"/>
    </w:pPr>
  </w:style>
  <w:style w:type="character" w:styleId="CommentReference">
    <w:name w:val="annotation reference"/>
    <w:basedOn w:val="DefaultParagraphFont"/>
    <w:uiPriority w:val="99"/>
    <w:semiHidden/>
    <w:unhideWhenUsed/>
    <w:rsid w:val="007F249D"/>
    <w:rPr>
      <w:sz w:val="16"/>
      <w:szCs w:val="16"/>
    </w:rPr>
  </w:style>
  <w:style w:type="paragraph" w:styleId="CommentText">
    <w:name w:val="annotation text"/>
    <w:basedOn w:val="Normal"/>
    <w:link w:val="CommentTextChar"/>
    <w:uiPriority w:val="99"/>
    <w:semiHidden/>
    <w:unhideWhenUsed/>
    <w:rsid w:val="007F249D"/>
    <w:pPr>
      <w:spacing w:line="240" w:lineRule="auto"/>
    </w:pPr>
    <w:rPr>
      <w:sz w:val="20"/>
      <w:szCs w:val="20"/>
    </w:rPr>
  </w:style>
  <w:style w:type="character" w:customStyle="1" w:styleId="CommentTextChar">
    <w:name w:val="Comment Text Char"/>
    <w:basedOn w:val="DefaultParagraphFont"/>
    <w:link w:val="CommentText"/>
    <w:uiPriority w:val="99"/>
    <w:semiHidden/>
    <w:rsid w:val="007F249D"/>
    <w:rPr>
      <w:sz w:val="20"/>
      <w:szCs w:val="20"/>
    </w:rPr>
  </w:style>
  <w:style w:type="paragraph" w:styleId="CommentSubject">
    <w:name w:val="annotation subject"/>
    <w:basedOn w:val="CommentText"/>
    <w:next w:val="CommentText"/>
    <w:link w:val="CommentSubjectChar"/>
    <w:uiPriority w:val="99"/>
    <w:semiHidden/>
    <w:unhideWhenUsed/>
    <w:rsid w:val="007F249D"/>
    <w:rPr>
      <w:b/>
      <w:bCs/>
    </w:rPr>
  </w:style>
  <w:style w:type="character" w:customStyle="1" w:styleId="CommentSubjectChar">
    <w:name w:val="Comment Subject Char"/>
    <w:basedOn w:val="CommentTextChar"/>
    <w:link w:val="CommentSubject"/>
    <w:uiPriority w:val="99"/>
    <w:semiHidden/>
    <w:rsid w:val="007F249D"/>
    <w:rPr>
      <w:b/>
      <w:bCs/>
      <w:sz w:val="20"/>
      <w:szCs w:val="20"/>
    </w:rPr>
  </w:style>
  <w:style w:type="character" w:styleId="UnresolvedMention">
    <w:name w:val="Unresolved Mention"/>
    <w:basedOn w:val="DefaultParagraphFont"/>
    <w:uiPriority w:val="99"/>
    <w:semiHidden/>
    <w:unhideWhenUsed/>
    <w:rsid w:val="00103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467">
      <w:bodyDiv w:val="1"/>
      <w:marLeft w:val="0"/>
      <w:marRight w:val="0"/>
      <w:marTop w:val="0"/>
      <w:marBottom w:val="0"/>
      <w:divBdr>
        <w:top w:val="none" w:sz="0" w:space="0" w:color="auto"/>
        <w:left w:val="none" w:sz="0" w:space="0" w:color="auto"/>
        <w:bottom w:val="none" w:sz="0" w:space="0" w:color="auto"/>
        <w:right w:val="none" w:sz="0" w:space="0" w:color="auto"/>
      </w:divBdr>
    </w:div>
    <w:div w:id="1672217395">
      <w:bodyDiv w:val="1"/>
      <w:marLeft w:val="0"/>
      <w:marRight w:val="0"/>
      <w:marTop w:val="0"/>
      <w:marBottom w:val="0"/>
      <w:divBdr>
        <w:top w:val="none" w:sz="0" w:space="0" w:color="auto"/>
        <w:left w:val="none" w:sz="0" w:space="0" w:color="auto"/>
        <w:bottom w:val="none" w:sz="0" w:space="0" w:color="auto"/>
        <w:right w:val="none" w:sz="0" w:space="0" w:color="auto"/>
      </w:divBdr>
      <w:divsChild>
        <w:div w:id="178553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26db50-9c4a-41b9-9723-64bb3dd71d20">
      <UserInfo>
        <DisplayName/>
        <AccountId xsi:nil="true"/>
        <AccountType/>
      </UserInfo>
    </SharedWithUsers>
    <TaxCatchAll xmlns="0226db50-9c4a-41b9-9723-64bb3dd71d20" xsi:nil="true"/>
    <lcf76f155ced4ddcb4097134ff3c332f xmlns="b96bbc3a-5171-4ca0-a006-e454eda051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FFFCAF8A7FF342A2E98A29C6EE6772" ma:contentTypeVersion="15" ma:contentTypeDescription="Create a new document." ma:contentTypeScope="" ma:versionID="0775573d3c9810bc3b244e60b222994d">
  <xsd:schema xmlns:xsd="http://www.w3.org/2001/XMLSchema" xmlns:xs="http://www.w3.org/2001/XMLSchema" xmlns:p="http://schemas.microsoft.com/office/2006/metadata/properties" xmlns:ns2="b96bbc3a-5171-4ca0-a006-e454eda051c0" xmlns:ns3="0226db50-9c4a-41b9-9723-64bb3dd71d20" targetNamespace="http://schemas.microsoft.com/office/2006/metadata/properties" ma:root="true" ma:fieldsID="e33bacbb2829afda5b18d2138e65ec4e" ns2:_="" ns3:_="">
    <xsd:import namespace="b96bbc3a-5171-4ca0-a006-e454eda051c0"/>
    <xsd:import namespace="0226db50-9c4a-41b9-9723-64bb3dd71d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bbc3a-5171-4ca0-a006-e454eda0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e6462f-898c-4798-bfd2-dc9ea210d9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26db50-9c4a-41b9-9723-64bb3dd71d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a8aeeb-c8b3-4a51-beac-b1886dfc6bd6}" ma:internalName="TaxCatchAll" ma:showField="CatchAllData" ma:web="0226db50-9c4a-41b9-9723-64bb3dd71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39CDC-FDCD-4B6F-9002-0F0D7E033373}">
  <ds:schemaRefs>
    <ds:schemaRef ds:uri="http://schemas.microsoft.com/office/2006/metadata/properties"/>
    <ds:schemaRef ds:uri="http://schemas.microsoft.com/office/infopath/2007/PartnerControls"/>
    <ds:schemaRef ds:uri="0226db50-9c4a-41b9-9723-64bb3dd71d20"/>
    <ds:schemaRef ds:uri="b96bbc3a-5171-4ca0-a006-e454eda051c0"/>
  </ds:schemaRefs>
</ds:datastoreItem>
</file>

<file path=customXml/itemProps2.xml><?xml version="1.0" encoding="utf-8"?>
<ds:datastoreItem xmlns:ds="http://schemas.openxmlformats.org/officeDocument/2006/customXml" ds:itemID="{9BB68E51-A7F9-486F-9161-D5208CFF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bbc3a-5171-4ca0-a006-e454eda051c0"/>
    <ds:schemaRef ds:uri="0226db50-9c4a-41b9-9723-64bb3dd71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319C5-AB93-4864-B3E3-BA63D96F2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2221</Words>
  <Characters>12663</Characters>
  <Application>Microsoft Office Word</Application>
  <DocSecurity>0</DocSecurity>
  <Lines>105</Lines>
  <Paragraphs>29</Paragraphs>
  <ScaleCrop>false</ScaleCrop>
  <Company>Sam Houston State University</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Sherry</dc:creator>
  <cp:keywords/>
  <dc:description/>
  <cp:lastModifiedBy>Cottle, Clayton</cp:lastModifiedBy>
  <cp:revision>2</cp:revision>
  <cp:lastPrinted>2019-03-05T13:37:00Z</cp:lastPrinted>
  <dcterms:created xsi:type="dcterms:W3CDTF">2023-05-18T18:33:00Z</dcterms:created>
  <dcterms:modified xsi:type="dcterms:W3CDTF">2023-05-18T18:33:00Z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0x010100D4FFFCAF8A7FF342A2E98A29C6EE6772</vt:lpwstr>
  </property>
  <property fmtid="{D5CDD505-2E9C-101B-9397-08002B2CF9AE}" pid="3" name="Order">
    <vt:r8>2320700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