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41A" w:rsidRDefault="002D141A" w:rsidP="002D141A">
      <w:pPr>
        <w:spacing w:before="100" w:beforeAutospacing="1" w:after="100" w:afterAutospacing="1"/>
        <w:outlineLvl w:val="1"/>
        <w:rPr>
          <w:rFonts w:eastAsia="Times New Roman" w:cs="Times New Roman"/>
          <w:b/>
          <w:bCs/>
          <w:sz w:val="36"/>
          <w:szCs w:val="36"/>
          <w:lang/>
        </w:rPr>
      </w:pPr>
      <w:r>
        <w:rPr>
          <w:rFonts w:eastAsia="Times New Roman" w:cs="Times New Roman"/>
          <w:b/>
          <w:bCs/>
          <w:sz w:val="36"/>
          <w:szCs w:val="36"/>
          <w:lang/>
        </w:rPr>
        <w:t>National Science Teachers Association Position Statement</w:t>
      </w:r>
    </w:p>
    <w:p w:rsidR="002D141A" w:rsidRDefault="002D141A" w:rsidP="002D141A">
      <w:pPr>
        <w:spacing w:before="100" w:beforeAutospacing="1" w:after="100" w:afterAutospacing="1"/>
        <w:outlineLvl w:val="1"/>
        <w:rPr>
          <w:rFonts w:eastAsia="Times New Roman" w:cs="Times New Roman"/>
          <w:b/>
          <w:bCs/>
          <w:sz w:val="36"/>
          <w:szCs w:val="36"/>
          <w:lang/>
        </w:rPr>
      </w:pPr>
      <w:r w:rsidRPr="002D141A">
        <w:rPr>
          <w:rFonts w:eastAsia="Times New Roman" w:cs="Times New Roman"/>
          <w:b/>
          <w:bCs/>
          <w:sz w:val="36"/>
          <w:szCs w:val="36"/>
          <w:lang/>
        </w:rPr>
        <w:t>http://www.nsta.org/about/positions/liability.aspx</w:t>
      </w:r>
    </w:p>
    <w:p w:rsidR="002D141A" w:rsidRPr="002D141A" w:rsidRDefault="002D141A" w:rsidP="002D141A">
      <w:pPr>
        <w:spacing w:before="100" w:beforeAutospacing="1" w:after="100" w:afterAutospacing="1"/>
        <w:outlineLvl w:val="1"/>
        <w:rPr>
          <w:rFonts w:eastAsia="Times New Roman" w:cs="Times New Roman"/>
          <w:b/>
          <w:bCs/>
          <w:sz w:val="36"/>
          <w:szCs w:val="36"/>
          <w:lang/>
        </w:rPr>
      </w:pPr>
      <w:r w:rsidRPr="002D141A">
        <w:rPr>
          <w:rFonts w:eastAsia="Times New Roman" w:cs="Times New Roman"/>
          <w:b/>
          <w:bCs/>
          <w:sz w:val="36"/>
          <w:szCs w:val="36"/>
          <w:lang/>
        </w:rPr>
        <w:t>Liability of Science Educators for Laboratory Safety</w:t>
      </w:r>
    </w:p>
    <w:p w:rsidR="002D141A" w:rsidRPr="002D141A" w:rsidRDefault="002D141A" w:rsidP="002D141A">
      <w:pPr>
        <w:spacing w:before="100" w:beforeAutospacing="1" w:after="100" w:afterAutospacing="1"/>
        <w:outlineLvl w:val="2"/>
        <w:rPr>
          <w:rFonts w:eastAsia="Times New Roman" w:cs="Times New Roman"/>
          <w:b/>
          <w:bCs/>
          <w:sz w:val="27"/>
          <w:szCs w:val="27"/>
          <w:lang/>
        </w:rPr>
      </w:pPr>
      <w:r w:rsidRPr="002D141A">
        <w:rPr>
          <w:rFonts w:eastAsia="Times New Roman" w:cs="Times New Roman"/>
          <w:b/>
          <w:bCs/>
          <w:sz w:val="27"/>
          <w:szCs w:val="27"/>
          <w:lang/>
        </w:rPr>
        <w:t>Introduction</w:t>
      </w:r>
    </w:p>
    <w:p w:rsidR="002D141A" w:rsidRPr="002D141A" w:rsidRDefault="002D141A" w:rsidP="002D141A">
      <w:pPr>
        <w:spacing w:before="100" w:beforeAutospacing="1" w:after="100" w:afterAutospacing="1"/>
        <w:rPr>
          <w:rFonts w:eastAsia="Times New Roman" w:cs="Times New Roman"/>
          <w:lang/>
        </w:rPr>
      </w:pPr>
      <w:r w:rsidRPr="002D141A">
        <w:rPr>
          <w:rFonts w:eastAsia="Times New Roman" w:cs="Times New Roman"/>
          <w:lang/>
        </w:rPr>
        <w:t>Laboratory investigations are essential for the effective teaching and learning of science. A school laboratory investigation (“lab”) is an experience in the laboratory, classroom, or the field that provides students with opportunities to interact directly with natural phenomena or with data collected by others using tools, materials, data collection techniques, and models (NRC 2006, p. 3). Inherent in laboratory-based activities is the potential for injury. Studies show that safety in K–12 school science instruction needs immediate and significant attention. (</w:t>
      </w:r>
      <w:proofErr w:type="spellStart"/>
      <w:r w:rsidRPr="002D141A">
        <w:rPr>
          <w:rFonts w:eastAsia="Times New Roman" w:cs="Times New Roman"/>
          <w:lang/>
        </w:rPr>
        <w:t>Gerlovich</w:t>
      </w:r>
      <w:proofErr w:type="spellEnd"/>
      <w:r w:rsidRPr="002D141A">
        <w:rPr>
          <w:rFonts w:eastAsia="Times New Roman" w:cs="Times New Roman"/>
          <w:lang/>
        </w:rPr>
        <w:t xml:space="preserve"> et al. 2005)</w:t>
      </w:r>
    </w:p>
    <w:p w:rsidR="002D141A" w:rsidRPr="002D141A" w:rsidRDefault="002D141A" w:rsidP="002D141A">
      <w:pPr>
        <w:spacing w:before="100" w:beforeAutospacing="1" w:after="100" w:afterAutospacing="1"/>
        <w:rPr>
          <w:rFonts w:eastAsia="Times New Roman" w:cs="Times New Roman"/>
          <w:lang/>
        </w:rPr>
      </w:pPr>
      <w:r w:rsidRPr="002D141A">
        <w:rPr>
          <w:rFonts w:eastAsia="Times New Roman" w:cs="Times New Roman"/>
          <w:lang/>
        </w:rPr>
        <w:t xml:space="preserve">As professionals, teachers of science have a duty of care to ensure the safety of students, teachers, and staff. Duty of care is defined as an obligation, recognized by law, requiring conformance to a certain standard of conduct to protect others against unreasonable risk (Prosser et al. 1984). “The breach of a particular duty owed to a student or others may lead to liability for both the teacher and the school district that employs that teacher” (Ryan 2001). As such, science educators must act as a reasonably prudent person would in providing and maintaining a safe learning environment for their students. </w:t>
      </w:r>
    </w:p>
    <w:p w:rsidR="002D141A" w:rsidRPr="002D141A" w:rsidRDefault="002D141A" w:rsidP="002D141A">
      <w:pPr>
        <w:spacing w:before="100" w:beforeAutospacing="1" w:after="100" w:afterAutospacing="1"/>
        <w:rPr>
          <w:rFonts w:eastAsia="Times New Roman" w:cs="Times New Roman"/>
          <w:lang/>
        </w:rPr>
      </w:pPr>
      <w:r w:rsidRPr="002D141A">
        <w:rPr>
          <w:rFonts w:eastAsia="Times New Roman" w:cs="Times New Roman"/>
          <w:lang/>
        </w:rPr>
        <w:t>Educators’ duty to maintain a safe learning environment while providing science instruction also must be shared by school leaders, district administrators, school boards, parents, and students. It is vital that teachers and administrators communicate regularly and fully on the essentials of safe instruction for students.</w:t>
      </w:r>
    </w:p>
    <w:p w:rsidR="002D141A" w:rsidRPr="002D141A" w:rsidRDefault="002D141A" w:rsidP="002D141A">
      <w:pPr>
        <w:spacing w:before="100" w:beforeAutospacing="1" w:after="100" w:afterAutospacing="1"/>
        <w:outlineLvl w:val="2"/>
        <w:rPr>
          <w:rFonts w:eastAsia="Times New Roman" w:cs="Times New Roman"/>
          <w:b/>
          <w:bCs/>
          <w:sz w:val="27"/>
          <w:szCs w:val="27"/>
          <w:lang/>
        </w:rPr>
      </w:pPr>
      <w:r w:rsidRPr="002D141A">
        <w:rPr>
          <w:rFonts w:eastAsia="Times New Roman" w:cs="Times New Roman"/>
          <w:b/>
          <w:bCs/>
          <w:sz w:val="27"/>
          <w:szCs w:val="27"/>
          <w:lang/>
        </w:rPr>
        <w:t xml:space="preserve">Declarations </w:t>
      </w:r>
    </w:p>
    <w:p w:rsidR="002D141A" w:rsidRPr="002D141A" w:rsidRDefault="002D141A" w:rsidP="002D141A">
      <w:pPr>
        <w:spacing w:before="100" w:beforeAutospacing="1" w:after="100" w:afterAutospacing="1"/>
        <w:rPr>
          <w:rFonts w:eastAsia="Times New Roman" w:cs="Times New Roman"/>
          <w:lang/>
        </w:rPr>
      </w:pPr>
      <w:r w:rsidRPr="002D141A">
        <w:rPr>
          <w:rFonts w:eastAsia="Times New Roman" w:cs="Times New Roman"/>
          <w:lang/>
        </w:rPr>
        <w:t>To ensure a safe and effective learning environment for students, teachers of science should:</w:t>
      </w:r>
    </w:p>
    <w:p w:rsidR="002D141A" w:rsidRPr="002D141A" w:rsidRDefault="002D141A" w:rsidP="002D141A">
      <w:pPr>
        <w:numPr>
          <w:ilvl w:val="0"/>
          <w:numId w:val="1"/>
        </w:numPr>
        <w:spacing w:before="100" w:beforeAutospacing="1" w:after="100" w:afterAutospacing="1"/>
        <w:rPr>
          <w:rFonts w:eastAsia="Times New Roman" w:cs="Times New Roman"/>
          <w:lang/>
        </w:rPr>
      </w:pPr>
      <w:r w:rsidRPr="002D141A">
        <w:rPr>
          <w:rFonts w:eastAsia="Times New Roman" w:cs="Times New Roman"/>
          <w:lang/>
        </w:rPr>
        <w:t xml:space="preserve">Integrate laboratory investigations into science instruction so that all students—including students with academic, remedial, or physical needs; gifted and talented students; and English language learners—have the opportunity to participate in laboratory investigations in a safe environment (NSTA 2007). </w:t>
      </w:r>
    </w:p>
    <w:p w:rsidR="002D141A" w:rsidRPr="002D141A" w:rsidRDefault="002D141A" w:rsidP="002D141A">
      <w:pPr>
        <w:numPr>
          <w:ilvl w:val="0"/>
          <w:numId w:val="1"/>
        </w:numPr>
        <w:spacing w:before="100" w:beforeAutospacing="1" w:after="100" w:afterAutospacing="1"/>
        <w:rPr>
          <w:rFonts w:eastAsia="Times New Roman" w:cs="Times New Roman"/>
          <w:lang/>
        </w:rPr>
      </w:pPr>
      <w:r w:rsidRPr="002D141A">
        <w:rPr>
          <w:rFonts w:eastAsia="Times New Roman" w:cs="Times New Roman"/>
          <w:lang/>
        </w:rPr>
        <w:t xml:space="preserve">Be proactive in seeking professional development opportunities to learn and implement practices and procedures necessary to conduct safe laboratory science investigations, including storage, use, and disposal of materials and chemicals; use of personal protective equipment; engineering controls; and proper administrative procedures (Roy 2006). </w:t>
      </w:r>
    </w:p>
    <w:p w:rsidR="002D141A" w:rsidRPr="002D141A" w:rsidRDefault="002D141A" w:rsidP="002D141A">
      <w:pPr>
        <w:numPr>
          <w:ilvl w:val="0"/>
          <w:numId w:val="1"/>
        </w:numPr>
        <w:spacing w:before="100" w:beforeAutospacing="1" w:after="100" w:afterAutospacing="1"/>
        <w:rPr>
          <w:rFonts w:eastAsia="Times New Roman" w:cs="Times New Roman"/>
          <w:lang/>
        </w:rPr>
      </w:pPr>
      <w:r w:rsidRPr="002D141A">
        <w:rPr>
          <w:rFonts w:eastAsia="Times New Roman" w:cs="Times New Roman"/>
          <w:lang/>
        </w:rPr>
        <w:t xml:space="preserve">Request and encourage school and district leadership to provide necessary professional development opportunities for staff and take personal professional responsibility to learn and implement these safe practices and procedures into teaching. </w:t>
      </w:r>
    </w:p>
    <w:p w:rsidR="002D141A" w:rsidRPr="002D141A" w:rsidRDefault="002D141A" w:rsidP="002D141A">
      <w:pPr>
        <w:numPr>
          <w:ilvl w:val="0"/>
          <w:numId w:val="1"/>
        </w:numPr>
        <w:spacing w:before="100" w:beforeAutospacing="1" w:after="100" w:afterAutospacing="1"/>
        <w:rPr>
          <w:rFonts w:eastAsia="Times New Roman" w:cs="Times New Roman"/>
          <w:lang/>
        </w:rPr>
      </w:pPr>
      <w:r w:rsidRPr="002D141A">
        <w:rPr>
          <w:rFonts w:eastAsia="Times New Roman" w:cs="Times New Roman"/>
          <w:lang/>
        </w:rPr>
        <w:t xml:space="preserve">Exercise reasonable judgment when conducting laboratory investigations. </w:t>
      </w:r>
    </w:p>
    <w:p w:rsidR="002D141A" w:rsidRPr="002D141A" w:rsidRDefault="002D141A" w:rsidP="002D141A">
      <w:pPr>
        <w:numPr>
          <w:ilvl w:val="0"/>
          <w:numId w:val="1"/>
        </w:numPr>
        <w:spacing w:before="100" w:beforeAutospacing="1" w:after="100" w:afterAutospacing="1"/>
        <w:rPr>
          <w:rFonts w:eastAsia="Times New Roman" w:cs="Times New Roman"/>
          <w:lang/>
        </w:rPr>
      </w:pPr>
      <w:r w:rsidRPr="002D141A">
        <w:rPr>
          <w:rFonts w:eastAsia="Times New Roman" w:cs="Times New Roman"/>
          <w:lang/>
        </w:rPr>
        <w:lastRenderedPageBreak/>
        <w:t xml:space="preserve">Accept the duty of care to provide all students and staff with a safe environment while performing hands-on science investigations or demonstrations in the laboratory, classroom, or field setting; using, storing, disposing/recycling, or transporting chemicals; or engaging in other related activities. </w:t>
      </w:r>
    </w:p>
    <w:p w:rsidR="002D141A" w:rsidRPr="002D141A" w:rsidRDefault="002D141A" w:rsidP="002D141A">
      <w:pPr>
        <w:numPr>
          <w:ilvl w:val="0"/>
          <w:numId w:val="1"/>
        </w:numPr>
        <w:spacing w:before="100" w:beforeAutospacing="1" w:after="100" w:afterAutospacing="1"/>
        <w:rPr>
          <w:rFonts w:eastAsia="Times New Roman" w:cs="Times New Roman"/>
          <w:lang/>
        </w:rPr>
      </w:pPr>
      <w:r w:rsidRPr="002D141A">
        <w:rPr>
          <w:rFonts w:eastAsia="Times New Roman" w:cs="Times New Roman"/>
          <w:lang/>
        </w:rPr>
        <w:t xml:space="preserve">Modify or alter activities in a safe manner, or select alternative activities to perform, when in the exercise of their duty, they determine that the proposed activities cannot be performed safely or a safe environment cannot be maintained. </w:t>
      </w:r>
    </w:p>
    <w:p w:rsidR="002D141A" w:rsidRPr="002D141A" w:rsidRDefault="002D141A" w:rsidP="002D141A">
      <w:pPr>
        <w:numPr>
          <w:ilvl w:val="0"/>
          <w:numId w:val="1"/>
        </w:numPr>
        <w:spacing w:before="100" w:beforeAutospacing="1" w:after="100" w:afterAutospacing="1"/>
        <w:rPr>
          <w:rFonts w:eastAsia="Times New Roman" w:cs="Times New Roman"/>
          <w:lang/>
        </w:rPr>
      </w:pPr>
      <w:r w:rsidRPr="002D141A">
        <w:rPr>
          <w:rFonts w:eastAsia="Times New Roman" w:cs="Times New Roman"/>
          <w:lang/>
        </w:rPr>
        <w:t>Identify, document, and notify school and district officials about existing or potential safety issues that impact the learning environment, including hazards such as class-size overcrowding in violation of occupancy load codes (BOCA 1996, ICC 2003, NFPA 2006) or contrary to safety research (West et al. 2005), inadequate or defective equipment, inadequate number or size of labs, or improper facility design (</w:t>
      </w:r>
      <w:proofErr w:type="spellStart"/>
      <w:r w:rsidRPr="002D141A">
        <w:rPr>
          <w:rFonts w:eastAsia="Times New Roman" w:cs="Times New Roman"/>
          <w:lang/>
        </w:rPr>
        <w:t>Motz</w:t>
      </w:r>
      <w:proofErr w:type="spellEnd"/>
      <w:r w:rsidRPr="002D141A">
        <w:rPr>
          <w:rFonts w:eastAsia="Times New Roman" w:cs="Times New Roman"/>
          <w:lang/>
        </w:rPr>
        <w:t xml:space="preserve"> et al. 2007), and give necessary recommendations to correct the issue or rectify a particular situation. Overcrowding has two research-based safety concerns: sufficient supervision and adequate individual workspace. Classes containing more than 24 students engaged in science activities cannot safely be supervised by one teacher. Additionally, research data show that accidents rise dramatically as class enrollments exceed 24 students or when inadequate individual workspace is provided (West et al. 2005). </w:t>
      </w:r>
    </w:p>
    <w:p w:rsidR="002D141A" w:rsidRPr="002D141A" w:rsidRDefault="002D141A" w:rsidP="002D141A">
      <w:pPr>
        <w:numPr>
          <w:ilvl w:val="0"/>
          <w:numId w:val="1"/>
        </w:numPr>
        <w:spacing w:before="100" w:beforeAutospacing="1" w:after="100" w:afterAutospacing="1"/>
        <w:rPr>
          <w:rFonts w:eastAsia="Times New Roman" w:cs="Times New Roman"/>
          <w:lang/>
        </w:rPr>
      </w:pPr>
      <w:r w:rsidRPr="002D141A">
        <w:rPr>
          <w:rFonts w:eastAsia="Times New Roman" w:cs="Times New Roman"/>
          <w:lang/>
        </w:rPr>
        <w:t xml:space="preserve">Communicate fully and regularly (at least once quarterly) with administrators regarding issues impacting the provision of safe science instruction. </w:t>
      </w:r>
    </w:p>
    <w:p w:rsidR="002D141A" w:rsidRPr="002D141A" w:rsidRDefault="002D141A" w:rsidP="002D141A">
      <w:pPr>
        <w:numPr>
          <w:ilvl w:val="0"/>
          <w:numId w:val="1"/>
        </w:numPr>
        <w:spacing w:before="100" w:beforeAutospacing="1" w:after="100" w:afterAutospacing="1"/>
        <w:rPr>
          <w:rFonts w:eastAsia="Times New Roman" w:cs="Times New Roman"/>
          <w:lang/>
        </w:rPr>
      </w:pPr>
      <w:r w:rsidRPr="002D141A">
        <w:rPr>
          <w:rFonts w:eastAsia="Times New Roman" w:cs="Times New Roman"/>
          <w:lang/>
        </w:rPr>
        <w:t xml:space="preserve">Share the responsibility with school district officials in establishing and implementing written safety standards, policies, and procedures, and ensure their compliance. </w:t>
      </w:r>
    </w:p>
    <w:p w:rsidR="002D141A" w:rsidRPr="002D141A" w:rsidRDefault="002D141A" w:rsidP="002D141A">
      <w:pPr>
        <w:numPr>
          <w:ilvl w:val="0"/>
          <w:numId w:val="1"/>
        </w:numPr>
        <w:spacing w:before="100" w:beforeAutospacing="1" w:after="100" w:afterAutospacing="1"/>
        <w:rPr>
          <w:rFonts w:eastAsia="Times New Roman" w:cs="Times New Roman"/>
          <w:lang/>
        </w:rPr>
      </w:pPr>
      <w:r w:rsidRPr="002D141A">
        <w:rPr>
          <w:rFonts w:eastAsia="Times New Roman" w:cs="Times New Roman"/>
          <w:lang/>
        </w:rPr>
        <w:t>Understand the scope of the duty of care in acting as a reasonably prudent person in providing science instruction, and acknowledge the limitations of insurance in denying coverage for reckless and intentional acts, as well as the potential for individual liability for acts outside the course and scope of employment. [</w:t>
      </w:r>
      <w:r w:rsidRPr="002D141A">
        <w:rPr>
          <w:rFonts w:eastAsia="Times New Roman" w:cs="Times New Roman"/>
          <w:i/>
          <w:iCs/>
          <w:lang/>
        </w:rPr>
        <w:t>See generally</w:t>
      </w:r>
      <w:r w:rsidRPr="002D141A">
        <w:rPr>
          <w:rFonts w:eastAsia="Times New Roman" w:cs="Times New Roman"/>
          <w:lang/>
        </w:rPr>
        <w:t xml:space="preserve">, Restatement (Second) of Torts §202. 1965; Anderson et al. 1999, p. 398.] </w:t>
      </w:r>
    </w:p>
    <w:p w:rsidR="002D141A" w:rsidRPr="002D141A" w:rsidRDefault="002D141A" w:rsidP="002D141A">
      <w:pPr>
        <w:spacing w:before="100" w:beforeAutospacing="1" w:after="100" w:afterAutospacing="1"/>
        <w:rPr>
          <w:rFonts w:eastAsia="Times New Roman" w:cs="Times New Roman"/>
          <w:lang/>
        </w:rPr>
      </w:pPr>
      <w:r w:rsidRPr="002D141A">
        <w:rPr>
          <w:rFonts w:eastAsia="Times New Roman" w:cs="Times New Roman"/>
          <w:lang/>
        </w:rPr>
        <w:t>To ensure a safe learning environment, school district officials—such as administrators, principals, assistant principals, science supervisors, and superintendents—should:</w:t>
      </w:r>
    </w:p>
    <w:p w:rsidR="002D141A" w:rsidRPr="002D141A" w:rsidRDefault="002D141A" w:rsidP="002D141A">
      <w:pPr>
        <w:numPr>
          <w:ilvl w:val="0"/>
          <w:numId w:val="2"/>
        </w:numPr>
        <w:spacing w:before="100" w:beforeAutospacing="1" w:after="100" w:afterAutospacing="1"/>
        <w:rPr>
          <w:rFonts w:eastAsia="Times New Roman" w:cs="Times New Roman"/>
          <w:lang/>
        </w:rPr>
      </w:pPr>
      <w:r w:rsidRPr="002D141A">
        <w:rPr>
          <w:rFonts w:eastAsia="Times New Roman" w:cs="Times New Roman"/>
          <w:lang/>
        </w:rPr>
        <w:t xml:space="preserve">Understand that for science to be taught properly and effectively, lab activities—conducted in the laboratory, classroom, or field setting—must be integrated fully and safely into the science curriculum (NSTA 2007). </w:t>
      </w:r>
    </w:p>
    <w:p w:rsidR="002D141A" w:rsidRPr="002D141A" w:rsidRDefault="002D141A" w:rsidP="002D141A">
      <w:pPr>
        <w:numPr>
          <w:ilvl w:val="0"/>
          <w:numId w:val="2"/>
        </w:numPr>
        <w:spacing w:before="100" w:beforeAutospacing="1" w:after="100" w:afterAutospacing="1"/>
        <w:rPr>
          <w:rFonts w:eastAsia="Times New Roman" w:cs="Times New Roman"/>
          <w:lang/>
        </w:rPr>
      </w:pPr>
      <w:r w:rsidRPr="002D141A">
        <w:rPr>
          <w:rFonts w:eastAsia="Times New Roman" w:cs="Times New Roman"/>
          <w:lang/>
        </w:rPr>
        <w:t xml:space="preserve">Develop and implement comprehensive safety policies with clear procedures for engaging in lab activities. These safety policies should comply with all applicable local and state health and safety codes, regulations, ordinances, and other rules established by the applicable oversight organization, including the Occupational Safety &amp; Health Administration (OSHA), International Code Council (ICC), Building Officials and Code Administrators (BOCA), and National Fire Protection Association (NFPA). </w:t>
      </w:r>
    </w:p>
    <w:p w:rsidR="002D141A" w:rsidRPr="002D141A" w:rsidRDefault="002D141A" w:rsidP="002D141A">
      <w:pPr>
        <w:numPr>
          <w:ilvl w:val="0"/>
          <w:numId w:val="2"/>
        </w:numPr>
        <w:spacing w:before="100" w:beforeAutospacing="1" w:after="100" w:afterAutospacing="1"/>
        <w:rPr>
          <w:rFonts w:eastAsia="Times New Roman" w:cs="Times New Roman"/>
          <w:lang/>
        </w:rPr>
      </w:pPr>
      <w:r w:rsidRPr="002D141A">
        <w:rPr>
          <w:rFonts w:eastAsia="Times New Roman" w:cs="Times New Roman"/>
          <w:lang/>
        </w:rPr>
        <w:t xml:space="preserve">Ensure that all safety policies, including those related to safety training, are reviewed and updated annually in consultation with school or district science educators. </w:t>
      </w:r>
    </w:p>
    <w:p w:rsidR="002D141A" w:rsidRPr="002D141A" w:rsidRDefault="002D141A" w:rsidP="002D141A">
      <w:pPr>
        <w:numPr>
          <w:ilvl w:val="0"/>
          <w:numId w:val="2"/>
        </w:numPr>
        <w:spacing w:before="100" w:beforeAutospacing="1" w:after="100" w:afterAutospacing="1"/>
        <w:rPr>
          <w:rFonts w:eastAsia="Times New Roman" w:cs="Times New Roman"/>
          <w:lang/>
        </w:rPr>
      </w:pPr>
      <w:r w:rsidRPr="002D141A">
        <w:rPr>
          <w:rFonts w:eastAsia="Times New Roman" w:cs="Times New Roman"/>
          <w:lang/>
        </w:rPr>
        <w:t xml:space="preserve">Support and encourage the use of laboratory investigations in science instruction, and share the responsibility with teachers to develop and fully integrate these activities into the science curriculum. </w:t>
      </w:r>
    </w:p>
    <w:p w:rsidR="002D141A" w:rsidRPr="002D141A" w:rsidRDefault="002D141A" w:rsidP="002D141A">
      <w:pPr>
        <w:numPr>
          <w:ilvl w:val="0"/>
          <w:numId w:val="2"/>
        </w:numPr>
        <w:spacing w:before="100" w:beforeAutospacing="1" w:after="100" w:afterAutospacing="1"/>
        <w:rPr>
          <w:rFonts w:eastAsia="Times New Roman" w:cs="Times New Roman"/>
          <w:lang/>
        </w:rPr>
      </w:pPr>
      <w:r w:rsidRPr="002D141A">
        <w:rPr>
          <w:rFonts w:eastAsia="Times New Roman" w:cs="Times New Roman"/>
          <w:lang/>
        </w:rPr>
        <w:lastRenderedPageBreak/>
        <w:t>Become knowledgeable of and enforce all local, state, and federal codes and regulations to ensure a safe learning environment for students and educators. Particular attention should be given to means of hazard prevention, including reasonable class sizes to prevent overcrowding in violation of occupancy load codes (BOCA 1996, ICC 2003, NFPA 2006) or contrary to safety research (West et al. 2005); replacement or repair of inadequate or defective equipment; adequate number or size of labs (</w:t>
      </w:r>
      <w:proofErr w:type="spellStart"/>
      <w:r w:rsidRPr="002D141A">
        <w:rPr>
          <w:rFonts w:eastAsia="Times New Roman" w:cs="Times New Roman"/>
          <w:lang/>
        </w:rPr>
        <w:t>Motz</w:t>
      </w:r>
      <w:proofErr w:type="spellEnd"/>
      <w:r w:rsidRPr="002D141A">
        <w:rPr>
          <w:rFonts w:eastAsia="Times New Roman" w:cs="Times New Roman"/>
          <w:lang/>
        </w:rPr>
        <w:t xml:space="preserve"> et al. 2007), or proper facility design; and the proper use, storage, disposal, or recycling of chemicals. </w:t>
      </w:r>
    </w:p>
    <w:p w:rsidR="002D141A" w:rsidRPr="002D141A" w:rsidRDefault="002D141A" w:rsidP="002D141A">
      <w:pPr>
        <w:numPr>
          <w:ilvl w:val="0"/>
          <w:numId w:val="2"/>
        </w:numPr>
        <w:spacing w:before="100" w:beforeAutospacing="1" w:after="100" w:afterAutospacing="1"/>
        <w:rPr>
          <w:rFonts w:eastAsia="Times New Roman" w:cs="Times New Roman"/>
          <w:lang/>
        </w:rPr>
      </w:pPr>
      <w:r w:rsidRPr="002D141A">
        <w:rPr>
          <w:rFonts w:eastAsia="Times New Roman" w:cs="Times New Roman"/>
          <w:lang/>
        </w:rPr>
        <w:t>Understand that the number of occupants allowed in the laboratory must be set at a safe level based on building and fire safety codes, size and design of the laboratory teaching facility, chemical/physical/biological hazards, and students’ needs (NSTA 2000; Roy 2006). Science classes should have no more than 24 students to allow for adequate supervision during science activities, even if the occupancy load limit might accommodate more (NSTA 2004). It is equally important to ensure adequate workspace for each student. NSTA recommends 60 sq. ft. for each secondary student and 45 sq. ft. for each elementary student in a laboratory/classroom setting (</w:t>
      </w:r>
      <w:proofErr w:type="spellStart"/>
      <w:r w:rsidRPr="002D141A">
        <w:rPr>
          <w:rFonts w:eastAsia="Times New Roman" w:cs="Times New Roman"/>
          <w:lang/>
        </w:rPr>
        <w:t>Motz</w:t>
      </w:r>
      <w:proofErr w:type="spellEnd"/>
      <w:r w:rsidRPr="002D141A">
        <w:rPr>
          <w:rFonts w:eastAsia="Times New Roman" w:cs="Times New Roman"/>
          <w:lang/>
        </w:rPr>
        <w:t xml:space="preserve"> et al. 2007). Research data show that accidents rise dramatically as class enrollments exceed 24 students or when inadequate individual workspace is provided (West et al. 2005). </w:t>
      </w:r>
    </w:p>
    <w:p w:rsidR="002D141A" w:rsidRPr="002D141A" w:rsidRDefault="002D141A" w:rsidP="002D141A">
      <w:pPr>
        <w:numPr>
          <w:ilvl w:val="0"/>
          <w:numId w:val="2"/>
        </w:numPr>
        <w:spacing w:before="100" w:beforeAutospacing="1" w:after="100" w:afterAutospacing="1"/>
        <w:rPr>
          <w:rFonts w:eastAsia="Times New Roman" w:cs="Times New Roman"/>
          <w:lang/>
        </w:rPr>
      </w:pPr>
      <w:r w:rsidRPr="002D141A">
        <w:rPr>
          <w:rFonts w:eastAsia="Times New Roman" w:cs="Times New Roman"/>
          <w:lang/>
        </w:rPr>
        <w:t xml:space="preserve">Require teachers to develop, maintain, and implement chemical hygiene plans based on OSHA’s Laboratory Standard criteria (OSHA 29 CFR 1910.1450) and Right to Know Standard (OSHA 29 CFR 1910.1200). </w:t>
      </w:r>
    </w:p>
    <w:p w:rsidR="002D141A" w:rsidRPr="002D141A" w:rsidRDefault="002D141A" w:rsidP="002D141A">
      <w:pPr>
        <w:numPr>
          <w:ilvl w:val="0"/>
          <w:numId w:val="2"/>
        </w:numPr>
        <w:spacing w:before="100" w:beforeAutospacing="1" w:after="100" w:afterAutospacing="1"/>
        <w:rPr>
          <w:rFonts w:eastAsia="Times New Roman" w:cs="Times New Roman"/>
          <w:lang/>
        </w:rPr>
      </w:pPr>
      <w:r w:rsidRPr="002D141A">
        <w:rPr>
          <w:rFonts w:eastAsia="Times New Roman" w:cs="Times New Roman"/>
          <w:lang/>
        </w:rPr>
        <w:t xml:space="preserve">Support teachers of science by obtaining materials and resources from national, state, and local organizations that will inform and educate teachers about safe laboratory activities, safety procedures, and best practices in the teaching of laboratory-based science instruction. </w:t>
      </w:r>
    </w:p>
    <w:p w:rsidR="002D141A" w:rsidRPr="002D141A" w:rsidRDefault="002D141A" w:rsidP="002D141A">
      <w:pPr>
        <w:numPr>
          <w:ilvl w:val="0"/>
          <w:numId w:val="2"/>
        </w:numPr>
        <w:spacing w:before="100" w:beforeAutospacing="1" w:after="100" w:afterAutospacing="1"/>
        <w:rPr>
          <w:rFonts w:eastAsia="Times New Roman" w:cs="Times New Roman"/>
          <w:lang/>
        </w:rPr>
      </w:pPr>
      <w:r w:rsidRPr="002D141A">
        <w:rPr>
          <w:rFonts w:eastAsia="Times New Roman" w:cs="Times New Roman"/>
          <w:lang/>
        </w:rPr>
        <w:t xml:space="preserve">Review existing insurance policies to ensure adequate liability insurance coverage for laboratory-based science instruction. </w:t>
      </w:r>
    </w:p>
    <w:p w:rsidR="002D141A" w:rsidRPr="002D141A" w:rsidRDefault="002D141A" w:rsidP="002D141A">
      <w:pPr>
        <w:numPr>
          <w:ilvl w:val="0"/>
          <w:numId w:val="2"/>
        </w:numPr>
        <w:spacing w:before="100" w:beforeAutospacing="1" w:after="100" w:afterAutospacing="1"/>
        <w:rPr>
          <w:rFonts w:eastAsia="Times New Roman" w:cs="Times New Roman"/>
          <w:lang/>
        </w:rPr>
      </w:pPr>
      <w:r w:rsidRPr="002D141A">
        <w:rPr>
          <w:rFonts w:eastAsia="Times New Roman" w:cs="Times New Roman"/>
          <w:lang/>
        </w:rPr>
        <w:t xml:space="preserve">Provide teachers with sustained, comprehensive training in lab logistics—including setup, safety, management of materials and equipment, and assessment of student practices—at the time of initial assignment and before being assigned to a new exposure situation (OSHA 29 CFR 1910.1450[f][2]). This includes storage, use, and disposal of materials and chemicals; use of personal protective equipment; engineering controls; and proper administrative procedures. To </w:t>
      </w:r>
      <w:proofErr w:type="spellStart"/>
      <w:r w:rsidRPr="002D141A">
        <w:rPr>
          <w:rFonts w:eastAsia="Times New Roman" w:cs="Times New Roman"/>
          <w:lang/>
        </w:rPr>
        <w:t>ensureongoingsafety</w:t>
      </w:r>
      <w:proofErr w:type="spellEnd"/>
      <w:r w:rsidRPr="002D141A">
        <w:rPr>
          <w:rFonts w:eastAsia="Times New Roman" w:cs="Times New Roman"/>
          <w:lang/>
        </w:rPr>
        <w:t xml:space="preserve">, annual training should be provided to keep teachers well informed about changes in safety procedures (NSTA 2000). </w:t>
      </w:r>
    </w:p>
    <w:p w:rsidR="002D141A" w:rsidRPr="002D141A" w:rsidRDefault="002D141A" w:rsidP="002D141A">
      <w:pPr>
        <w:numPr>
          <w:ilvl w:val="0"/>
          <w:numId w:val="2"/>
        </w:numPr>
        <w:spacing w:before="100" w:beforeAutospacing="1" w:after="100" w:afterAutospacing="1"/>
        <w:rPr>
          <w:rFonts w:eastAsia="Times New Roman" w:cs="Times New Roman"/>
          <w:lang/>
        </w:rPr>
      </w:pPr>
      <w:r w:rsidRPr="002D141A">
        <w:rPr>
          <w:rFonts w:eastAsia="Times New Roman" w:cs="Times New Roman"/>
          <w:lang/>
        </w:rPr>
        <w:t xml:space="preserve">Support the decisions of teachers to modify or alter activities in a safe manner or select safe alternative activities to perform in the science classroom/laboratory. </w:t>
      </w:r>
    </w:p>
    <w:p w:rsidR="002D141A" w:rsidRPr="002D141A" w:rsidRDefault="002D141A" w:rsidP="002D141A">
      <w:pPr>
        <w:numPr>
          <w:ilvl w:val="0"/>
          <w:numId w:val="2"/>
        </w:numPr>
        <w:spacing w:before="100" w:beforeAutospacing="1" w:after="100" w:afterAutospacing="1"/>
        <w:rPr>
          <w:rFonts w:eastAsia="Times New Roman" w:cs="Times New Roman"/>
          <w:lang/>
        </w:rPr>
      </w:pPr>
      <w:r w:rsidRPr="002D141A">
        <w:rPr>
          <w:rFonts w:eastAsia="Times New Roman" w:cs="Times New Roman"/>
          <w:lang/>
        </w:rPr>
        <w:t>Maintain adequately supplied, properly equipped, and safe facilities for performing lab instruction by conducting annual facilities audits (</w:t>
      </w:r>
      <w:proofErr w:type="spellStart"/>
      <w:r w:rsidRPr="002D141A">
        <w:rPr>
          <w:rFonts w:eastAsia="Times New Roman" w:cs="Times New Roman"/>
          <w:lang/>
        </w:rPr>
        <w:t>Motz</w:t>
      </w:r>
      <w:proofErr w:type="spellEnd"/>
      <w:r w:rsidRPr="002D141A">
        <w:rPr>
          <w:rFonts w:eastAsia="Times New Roman" w:cs="Times New Roman"/>
          <w:lang/>
        </w:rPr>
        <w:t xml:space="preserve"> et al. 2007; Ryan 2001). </w:t>
      </w:r>
    </w:p>
    <w:p w:rsidR="002D141A" w:rsidRPr="002D141A" w:rsidRDefault="002D141A" w:rsidP="002D141A">
      <w:pPr>
        <w:spacing w:before="100" w:beforeAutospacing="1" w:after="100" w:afterAutospacing="1"/>
        <w:rPr>
          <w:rFonts w:eastAsia="Times New Roman" w:cs="Times New Roman"/>
          <w:lang/>
        </w:rPr>
      </w:pPr>
      <w:r w:rsidRPr="002D141A">
        <w:rPr>
          <w:rFonts w:eastAsia="Times New Roman" w:cs="Times New Roman"/>
          <w:lang/>
        </w:rPr>
        <w:t>To ensure a safe learning environment, members of the school board should:</w:t>
      </w:r>
    </w:p>
    <w:p w:rsidR="002D141A" w:rsidRPr="002D141A" w:rsidRDefault="002D141A" w:rsidP="002D141A">
      <w:pPr>
        <w:numPr>
          <w:ilvl w:val="0"/>
          <w:numId w:val="3"/>
        </w:numPr>
        <w:spacing w:before="100" w:beforeAutospacing="1" w:after="100" w:afterAutospacing="1"/>
        <w:rPr>
          <w:rFonts w:eastAsia="Times New Roman" w:cs="Times New Roman"/>
          <w:lang/>
        </w:rPr>
      </w:pPr>
      <w:r w:rsidRPr="002D141A">
        <w:rPr>
          <w:rFonts w:eastAsia="Times New Roman" w:cs="Times New Roman"/>
          <w:lang/>
        </w:rPr>
        <w:t xml:space="preserve">Recommend and support upgrading and improving school science facilities and science curriculum/instruction. If possible, a </w:t>
      </w:r>
      <w:proofErr w:type="spellStart"/>
      <w:r w:rsidRPr="002D141A">
        <w:rPr>
          <w:rFonts w:eastAsia="Times New Roman" w:cs="Times New Roman"/>
          <w:lang/>
        </w:rPr>
        <w:t>districtwide</w:t>
      </w:r>
      <w:proofErr w:type="spellEnd"/>
      <w:r w:rsidRPr="002D141A">
        <w:rPr>
          <w:rFonts w:eastAsia="Times New Roman" w:cs="Times New Roman"/>
          <w:lang/>
        </w:rPr>
        <w:t xml:space="preserve"> review of science facilities and instruction should be conducted at least every 3–5 years. </w:t>
      </w:r>
    </w:p>
    <w:p w:rsidR="002D141A" w:rsidRPr="002D141A" w:rsidRDefault="002D141A" w:rsidP="002D141A">
      <w:pPr>
        <w:numPr>
          <w:ilvl w:val="0"/>
          <w:numId w:val="3"/>
        </w:numPr>
        <w:spacing w:before="100" w:beforeAutospacing="1" w:after="100" w:afterAutospacing="1"/>
        <w:rPr>
          <w:rFonts w:eastAsia="Times New Roman" w:cs="Times New Roman"/>
          <w:lang/>
        </w:rPr>
      </w:pPr>
      <w:r w:rsidRPr="002D141A">
        <w:rPr>
          <w:rFonts w:eastAsia="Times New Roman" w:cs="Times New Roman"/>
          <w:lang/>
        </w:rPr>
        <w:t xml:space="preserve">Ensure that the district has adequate insurance to cover liability claims arising in the science classroom/laboratory. </w:t>
      </w:r>
    </w:p>
    <w:p w:rsidR="002D141A" w:rsidRPr="002D141A" w:rsidRDefault="002D141A" w:rsidP="002D141A">
      <w:pPr>
        <w:numPr>
          <w:ilvl w:val="0"/>
          <w:numId w:val="3"/>
        </w:numPr>
        <w:spacing w:before="100" w:beforeAutospacing="1" w:after="100" w:afterAutospacing="1"/>
        <w:rPr>
          <w:rFonts w:eastAsia="Times New Roman" w:cs="Times New Roman"/>
          <w:lang/>
        </w:rPr>
      </w:pPr>
      <w:r w:rsidRPr="002D141A">
        <w:rPr>
          <w:rFonts w:eastAsia="Times New Roman" w:cs="Times New Roman"/>
          <w:lang/>
        </w:rPr>
        <w:lastRenderedPageBreak/>
        <w:t xml:space="preserve">Adopt </w:t>
      </w:r>
      <w:proofErr w:type="spellStart"/>
      <w:r w:rsidRPr="002D141A">
        <w:rPr>
          <w:rFonts w:eastAsia="Times New Roman" w:cs="Times New Roman"/>
          <w:lang/>
        </w:rPr>
        <w:t>districtwide</w:t>
      </w:r>
      <w:proofErr w:type="spellEnd"/>
      <w:r w:rsidRPr="002D141A">
        <w:rPr>
          <w:rFonts w:eastAsia="Times New Roman" w:cs="Times New Roman"/>
          <w:lang/>
        </w:rPr>
        <w:t xml:space="preserve"> policies for safety, including guidelines for a safe working environment for all employees. </w:t>
      </w:r>
    </w:p>
    <w:p w:rsidR="002D141A" w:rsidRPr="002D141A" w:rsidRDefault="002D141A" w:rsidP="002D141A">
      <w:pPr>
        <w:spacing w:before="100" w:beforeAutospacing="1" w:after="100" w:afterAutospacing="1"/>
        <w:jc w:val="right"/>
        <w:rPr>
          <w:rFonts w:eastAsia="Times New Roman" w:cs="Times New Roman"/>
          <w:lang/>
        </w:rPr>
      </w:pPr>
      <w:r w:rsidRPr="002D141A">
        <w:rPr>
          <w:rFonts w:eastAsia="Times New Roman" w:cs="Times New Roman"/>
          <w:i/>
          <w:iCs/>
          <w:lang/>
        </w:rPr>
        <w:t>—Adopted by the NSTA Board of Directors</w:t>
      </w:r>
      <w:r w:rsidRPr="002D141A">
        <w:rPr>
          <w:rFonts w:eastAsia="Times New Roman" w:cs="Times New Roman"/>
          <w:i/>
          <w:iCs/>
          <w:lang/>
        </w:rPr>
        <w:br/>
        <w:t>September 2007</w:t>
      </w:r>
    </w:p>
    <w:p w:rsidR="002D141A" w:rsidRPr="002D141A" w:rsidRDefault="002D141A" w:rsidP="002D141A">
      <w:pPr>
        <w:spacing w:before="100" w:beforeAutospacing="1" w:after="100" w:afterAutospacing="1"/>
        <w:outlineLvl w:val="2"/>
        <w:rPr>
          <w:rFonts w:eastAsia="Times New Roman" w:cs="Times New Roman"/>
          <w:b/>
          <w:bCs/>
          <w:sz w:val="27"/>
          <w:szCs w:val="27"/>
          <w:lang/>
        </w:rPr>
      </w:pPr>
      <w:r w:rsidRPr="002D141A">
        <w:rPr>
          <w:rFonts w:eastAsia="Times New Roman" w:cs="Times New Roman"/>
          <w:b/>
          <w:bCs/>
          <w:sz w:val="27"/>
          <w:szCs w:val="27"/>
          <w:lang/>
        </w:rPr>
        <w:t>References</w:t>
      </w:r>
    </w:p>
    <w:p w:rsidR="002D141A" w:rsidRPr="002D141A" w:rsidRDefault="002D141A" w:rsidP="002D141A">
      <w:pPr>
        <w:spacing w:before="100" w:beforeAutospacing="1" w:after="100" w:afterAutospacing="1"/>
        <w:rPr>
          <w:rFonts w:eastAsia="Times New Roman" w:cs="Times New Roman"/>
          <w:lang/>
        </w:rPr>
      </w:pPr>
      <w:r w:rsidRPr="002D141A">
        <w:rPr>
          <w:rFonts w:eastAsia="Times New Roman" w:cs="Times New Roman"/>
          <w:lang/>
        </w:rPr>
        <w:t xml:space="preserve">Anderson, E. R., </w:t>
      </w:r>
      <w:hyperlink r:id="rId5" w:history="1">
        <w:r w:rsidRPr="002D141A">
          <w:rPr>
            <w:rFonts w:eastAsia="Times New Roman" w:cs="Times New Roman"/>
            <w:color w:val="0000FF"/>
            <w:u w:val="single"/>
            <w:lang/>
          </w:rPr>
          <w:t xml:space="preserve">J. S. </w:t>
        </w:r>
        <w:proofErr w:type="spellStart"/>
        <w:r w:rsidRPr="002D141A">
          <w:rPr>
            <w:rFonts w:eastAsia="Times New Roman" w:cs="Times New Roman"/>
            <w:color w:val="0000FF"/>
            <w:u w:val="single"/>
            <w:lang/>
          </w:rPr>
          <w:t>Stanzler</w:t>
        </w:r>
        <w:proofErr w:type="spellEnd"/>
      </w:hyperlink>
      <w:r w:rsidRPr="002D141A">
        <w:rPr>
          <w:rFonts w:eastAsia="Times New Roman" w:cs="Times New Roman"/>
          <w:lang/>
        </w:rPr>
        <w:t xml:space="preserve">, </w:t>
      </w:r>
      <w:hyperlink r:id="rId6" w:history="1">
        <w:r w:rsidRPr="002D141A">
          <w:rPr>
            <w:rFonts w:eastAsia="Times New Roman" w:cs="Times New Roman"/>
            <w:color w:val="0000FF"/>
            <w:u w:val="single"/>
            <w:lang/>
          </w:rPr>
          <w:t>L. S. Masters</w:t>
        </w:r>
      </w:hyperlink>
      <w:r w:rsidRPr="002D141A">
        <w:rPr>
          <w:rFonts w:eastAsia="Times New Roman" w:cs="Times New Roman"/>
          <w:lang/>
        </w:rPr>
        <w:t xml:space="preserve">. 1999. </w:t>
      </w:r>
      <w:r w:rsidRPr="002D141A">
        <w:rPr>
          <w:rFonts w:eastAsia="Times New Roman" w:cs="Times New Roman"/>
          <w:i/>
          <w:iCs/>
          <w:lang/>
        </w:rPr>
        <w:t>Insurance coverage litigation.</w:t>
      </w:r>
      <w:r w:rsidRPr="002D141A">
        <w:rPr>
          <w:rFonts w:eastAsia="Times New Roman" w:cs="Times New Roman"/>
          <w:lang/>
        </w:rPr>
        <w:t xml:space="preserve"> 2nd ed. New York, NY: Aspen Law &amp; Business Publishers. </w:t>
      </w:r>
    </w:p>
    <w:p w:rsidR="002D141A" w:rsidRPr="002D141A" w:rsidRDefault="002D141A" w:rsidP="002D141A">
      <w:pPr>
        <w:spacing w:before="100" w:beforeAutospacing="1" w:after="100" w:afterAutospacing="1"/>
        <w:rPr>
          <w:rFonts w:eastAsia="Times New Roman" w:cs="Times New Roman"/>
          <w:lang/>
        </w:rPr>
      </w:pPr>
      <w:r w:rsidRPr="002D141A">
        <w:rPr>
          <w:rFonts w:eastAsia="Times New Roman" w:cs="Times New Roman"/>
          <w:lang/>
        </w:rPr>
        <w:t>Building Officials and Code Administrators (BOCA). 1996. Section 1008.0 Occupant Load ( National Building Code).</w:t>
      </w:r>
    </w:p>
    <w:p w:rsidR="002D141A" w:rsidRPr="002D141A" w:rsidRDefault="002D141A" w:rsidP="002D141A">
      <w:pPr>
        <w:spacing w:before="100" w:beforeAutospacing="1" w:after="100" w:afterAutospacing="1"/>
        <w:rPr>
          <w:rFonts w:eastAsia="Times New Roman" w:cs="Times New Roman"/>
          <w:lang/>
        </w:rPr>
      </w:pPr>
      <w:proofErr w:type="spellStart"/>
      <w:r w:rsidRPr="002D141A">
        <w:rPr>
          <w:rFonts w:eastAsia="Times New Roman" w:cs="Times New Roman"/>
          <w:lang/>
        </w:rPr>
        <w:t>Gerlovich</w:t>
      </w:r>
      <w:proofErr w:type="spellEnd"/>
      <w:r w:rsidRPr="002D141A">
        <w:rPr>
          <w:rFonts w:eastAsia="Times New Roman" w:cs="Times New Roman"/>
          <w:lang/>
        </w:rPr>
        <w:t xml:space="preserve">, J. A., D. McElroy, R. </w:t>
      </w:r>
      <w:proofErr w:type="spellStart"/>
      <w:r w:rsidRPr="002D141A">
        <w:rPr>
          <w:rFonts w:eastAsia="Times New Roman" w:cs="Times New Roman"/>
          <w:lang/>
        </w:rPr>
        <w:t>Parsa</w:t>
      </w:r>
      <w:proofErr w:type="spellEnd"/>
      <w:r w:rsidRPr="002D141A">
        <w:rPr>
          <w:rFonts w:eastAsia="Times New Roman" w:cs="Times New Roman"/>
          <w:lang/>
        </w:rPr>
        <w:t xml:space="preserve">, and B. </w:t>
      </w:r>
      <w:proofErr w:type="spellStart"/>
      <w:r w:rsidRPr="002D141A">
        <w:rPr>
          <w:rFonts w:eastAsia="Times New Roman" w:cs="Times New Roman"/>
          <w:lang/>
        </w:rPr>
        <w:t>Wazlaw</w:t>
      </w:r>
      <w:proofErr w:type="spellEnd"/>
      <w:r w:rsidRPr="002D141A">
        <w:rPr>
          <w:rFonts w:eastAsia="Times New Roman" w:cs="Times New Roman"/>
          <w:lang/>
        </w:rPr>
        <w:t xml:space="preserve">. 2005. National school science safety indexing project: A beginning. </w:t>
      </w:r>
      <w:r w:rsidRPr="002D141A">
        <w:rPr>
          <w:rFonts w:eastAsia="Times New Roman" w:cs="Times New Roman"/>
          <w:i/>
          <w:iCs/>
          <w:lang/>
        </w:rPr>
        <w:t xml:space="preserve">The Science Teacher </w:t>
      </w:r>
      <w:r w:rsidRPr="002D141A">
        <w:rPr>
          <w:rFonts w:eastAsia="Times New Roman" w:cs="Times New Roman"/>
          <w:lang/>
        </w:rPr>
        <w:t>72 (6): 43–45.</w:t>
      </w:r>
    </w:p>
    <w:p w:rsidR="002D141A" w:rsidRPr="002D141A" w:rsidRDefault="002D141A" w:rsidP="002D141A">
      <w:pPr>
        <w:spacing w:before="100" w:beforeAutospacing="1" w:after="100" w:afterAutospacing="1"/>
        <w:rPr>
          <w:rFonts w:eastAsia="Times New Roman" w:cs="Times New Roman"/>
          <w:lang/>
        </w:rPr>
      </w:pPr>
      <w:r w:rsidRPr="002D141A">
        <w:rPr>
          <w:rFonts w:eastAsia="Times New Roman" w:cs="Times New Roman"/>
          <w:lang/>
        </w:rPr>
        <w:t>International Code Council (ICC). 2003. Section 15.1.7 and Table 1004.1.2 Occupant Load.</w:t>
      </w:r>
    </w:p>
    <w:p w:rsidR="002D141A" w:rsidRPr="002D141A" w:rsidRDefault="002D141A" w:rsidP="002D141A">
      <w:pPr>
        <w:spacing w:before="100" w:beforeAutospacing="1" w:after="100" w:afterAutospacing="1"/>
        <w:rPr>
          <w:rFonts w:eastAsia="Times New Roman" w:cs="Times New Roman"/>
          <w:lang/>
        </w:rPr>
      </w:pPr>
      <w:proofErr w:type="spellStart"/>
      <w:r w:rsidRPr="002D141A">
        <w:rPr>
          <w:rFonts w:eastAsia="Times New Roman" w:cs="Times New Roman"/>
          <w:lang/>
        </w:rPr>
        <w:t>Motz</w:t>
      </w:r>
      <w:proofErr w:type="spellEnd"/>
      <w:r w:rsidRPr="002D141A">
        <w:rPr>
          <w:rFonts w:eastAsia="Times New Roman" w:cs="Times New Roman"/>
          <w:lang/>
        </w:rPr>
        <w:t xml:space="preserve">, L. L., J. T. </w:t>
      </w:r>
      <w:proofErr w:type="spellStart"/>
      <w:r w:rsidRPr="002D141A">
        <w:rPr>
          <w:rFonts w:eastAsia="Times New Roman" w:cs="Times New Roman"/>
          <w:lang/>
        </w:rPr>
        <w:t>Biehle</w:t>
      </w:r>
      <w:proofErr w:type="spellEnd"/>
      <w:r w:rsidRPr="002D141A">
        <w:rPr>
          <w:rFonts w:eastAsia="Times New Roman" w:cs="Times New Roman"/>
          <w:lang/>
        </w:rPr>
        <w:t xml:space="preserve">, and S. S. West. 2007. </w:t>
      </w:r>
      <w:r w:rsidRPr="002D141A">
        <w:rPr>
          <w:rFonts w:eastAsia="Times New Roman" w:cs="Times New Roman"/>
          <w:i/>
          <w:iCs/>
          <w:lang/>
        </w:rPr>
        <w:t>NSTA guide to planning school science facilities</w:t>
      </w:r>
      <w:r w:rsidRPr="002D141A">
        <w:rPr>
          <w:rFonts w:eastAsia="Times New Roman" w:cs="Times New Roman"/>
          <w:lang/>
        </w:rPr>
        <w:t>, Second Edition. Arlington, VA: NSTA Press.</w:t>
      </w:r>
    </w:p>
    <w:p w:rsidR="002D141A" w:rsidRPr="002D141A" w:rsidRDefault="002D141A" w:rsidP="002D141A">
      <w:pPr>
        <w:spacing w:before="100" w:beforeAutospacing="1" w:after="100" w:afterAutospacing="1"/>
        <w:rPr>
          <w:rFonts w:eastAsia="Times New Roman" w:cs="Times New Roman"/>
          <w:lang/>
        </w:rPr>
      </w:pPr>
      <w:r w:rsidRPr="002D141A">
        <w:rPr>
          <w:rFonts w:eastAsia="Times New Roman" w:cs="Times New Roman"/>
          <w:lang/>
        </w:rPr>
        <w:t>National Fire Protection Association (NFPA). 2006. Section 10-1.7.0 Occupant Load, Life Safety Code 101–97.</w:t>
      </w:r>
    </w:p>
    <w:p w:rsidR="002D141A" w:rsidRPr="002D141A" w:rsidRDefault="002D141A" w:rsidP="002D141A">
      <w:pPr>
        <w:spacing w:before="100" w:beforeAutospacing="1" w:after="100" w:afterAutospacing="1"/>
        <w:rPr>
          <w:rFonts w:eastAsia="Times New Roman" w:cs="Times New Roman"/>
          <w:lang/>
        </w:rPr>
      </w:pPr>
      <w:r w:rsidRPr="002D141A">
        <w:rPr>
          <w:rFonts w:eastAsia="Times New Roman" w:cs="Times New Roman"/>
          <w:lang/>
        </w:rPr>
        <w:t xml:space="preserve">National Research Council (NRC). 2006. </w:t>
      </w:r>
      <w:r w:rsidRPr="002D141A">
        <w:rPr>
          <w:rFonts w:eastAsia="Times New Roman" w:cs="Times New Roman"/>
          <w:i/>
          <w:iCs/>
          <w:lang/>
        </w:rPr>
        <w:t>America’s lab report: Investigations in high school science</w:t>
      </w:r>
      <w:r w:rsidRPr="002D141A">
        <w:rPr>
          <w:rFonts w:eastAsia="Times New Roman" w:cs="Times New Roman"/>
          <w:lang/>
        </w:rPr>
        <w:t>. Washington, DC: National Academy Press.</w:t>
      </w:r>
    </w:p>
    <w:p w:rsidR="002D141A" w:rsidRPr="002D141A" w:rsidRDefault="002D141A" w:rsidP="002D141A">
      <w:pPr>
        <w:spacing w:before="100" w:beforeAutospacing="1" w:after="100" w:afterAutospacing="1"/>
        <w:rPr>
          <w:rFonts w:eastAsia="Times New Roman" w:cs="Times New Roman"/>
          <w:lang/>
        </w:rPr>
      </w:pPr>
      <w:r w:rsidRPr="002D141A">
        <w:rPr>
          <w:rFonts w:eastAsia="Times New Roman" w:cs="Times New Roman"/>
          <w:lang/>
        </w:rPr>
        <w:t>National Science Teachers Association (NSTA). 2007. NSTA Position Statement: The Integral Role of Laboratory Investigations in Science Instruction.</w:t>
      </w:r>
    </w:p>
    <w:p w:rsidR="002D141A" w:rsidRPr="002D141A" w:rsidRDefault="002D141A" w:rsidP="002D141A">
      <w:pPr>
        <w:spacing w:before="100" w:beforeAutospacing="1" w:after="100" w:afterAutospacing="1"/>
        <w:rPr>
          <w:rFonts w:eastAsia="Times New Roman" w:cs="Times New Roman"/>
          <w:lang/>
        </w:rPr>
      </w:pPr>
      <w:r w:rsidRPr="002D141A">
        <w:rPr>
          <w:rFonts w:eastAsia="Times New Roman" w:cs="Times New Roman"/>
          <w:lang/>
        </w:rPr>
        <w:t xml:space="preserve">National Science Teachers Association (NSTA). 2004. </w:t>
      </w:r>
      <w:r w:rsidRPr="002D141A">
        <w:rPr>
          <w:rFonts w:eastAsia="Times New Roman" w:cs="Times New Roman"/>
          <w:i/>
          <w:iCs/>
          <w:lang/>
        </w:rPr>
        <w:t>Investigating safely; A guide for high school teachers</w:t>
      </w:r>
      <w:r w:rsidRPr="002D141A">
        <w:rPr>
          <w:rFonts w:eastAsia="Times New Roman" w:cs="Times New Roman"/>
          <w:lang/>
        </w:rPr>
        <w:t>. Arlington, VA: NSTA Press.</w:t>
      </w:r>
    </w:p>
    <w:p w:rsidR="002D141A" w:rsidRPr="002D141A" w:rsidRDefault="002D141A" w:rsidP="002D141A">
      <w:pPr>
        <w:spacing w:before="100" w:beforeAutospacing="1" w:after="100" w:afterAutospacing="1"/>
        <w:rPr>
          <w:rFonts w:eastAsia="Times New Roman" w:cs="Times New Roman"/>
          <w:lang/>
        </w:rPr>
      </w:pPr>
      <w:r w:rsidRPr="002D141A">
        <w:rPr>
          <w:rFonts w:eastAsia="Times New Roman" w:cs="Times New Roman"/>
          <w:lang/>
        </w:rPr>
        <w:t>National Science Teachers Association (NSTA). 2000. NSTA Position Statement: Safety and School Science Instruction.</w:t>
      </w:r>
    </w:p>
    <w:p w:rsidR="002D141A" w:rsidRPr="002D141A" w:rsidRDefault="002D141A" w:rsidP="002D141A">
      <w:pPr>
        <w:spacing w:before="100" w:beforeAutospacing="1" w:after="100" w:afterAutospacing="1"/>
        <w:rPr>
          <w:rFonts w:eastAsia="Times New Roman" w:cs="Times New Roman"/>
          <w:lang/>
        </w:rPr>
      </w:pPr>
      <w:r w:rsidRPr="002D141A">
        <w:rPr>
          <w:rFonts w:eastAsia="Times New Roman" w:cs="Times New Roman"/>
          <w:lang/>
        </w:rPr>
        <w:t>Occupational Safety &amp; Health Administration (OSHA). 1987. 29 CFR 1910.1200 Hazard Communication Standard (Right to Know Law).</w:t>
      </w:r>
    </w:p>
    <w:p w:rsidR="002D141A" w:rsidRPr="002D141A" w:rsidRDefault="002D141A" w:rsidP="002D141A">
      <w:pPr>
        <w:spacing w:before="100" w:beforeAutospacing="1" w:after="100" w:afterAutospacing="1"/>
        <w:rPr>
          <w:rFonts w:eastAsia="Times New Roman" w:cs="Times New Roman"/>
          <w:lang/>
        </w:rPr>
      </w:pPr>
      <w:r w:rsidRPr="002D141A">
        <w:rPr>
          <w:rFonts w:eastAsia="Times New Roman" w:cs="Times New Roman"/>
          <w:lang/>
        </w:rPr>
        <w:t>Occupational Safety &amp; Health Administration (OSHA). 1990. 29 CFR 1910.1450. The Laboratory Standard, Part Q (Chemical Hygiene Law).</w:t>
      </w:r>
    </w:p>
    <w:p w:rsidR="002D141A" w:rsidRPr="002D141A" w:rsidRDefault="002D141A" w:rsidP="002D141A">
      <w:pPr>
        <w:spacing w:before="100" w:beforeAutospacing="1" w:after="100" w:afterAutospacing="1"/>
        <w:rPr>
          <w:rFonts w:eastAsia="Times New Roman" w:cs="Times New Roman"/>
          <w:lang/>
        </w:rPr>
      </w:pPr>
      <w:r w:rsidRPr="002D141A">
        <w:rPr>
          <w:rFonts w:eastAsia="Times New Roman" w:cs="Times New Roman"/>
          <w:lang/>
        </w:rPr>
        <w:t>Occupational Safety &amp; Health Administration (OSHA). 1990. 29 CFR 1910.1450(f)(2). Occupational Exposure to Hazardous Chemicals in Laboratories.</w:t>
      </w:r>
    </w:p>
    <w:p w:rsidR="002D141A" w:rsidRPr="002D141A" w:rsidRDefault="002D141A" w:rsidP="002D141A">
      <w:pPr>
        <w:spacing w:before="100" w:beforeAutospacing="1" w:after="100" w:afterAutospacing="1"/>
        <w:rPr>
          <w:rFonts w:eastAsia="Times New Roman" w:cs="Times New Roman"/>
          <w:lang/>
        </w:rPr>
      </w:pPr>
      <w:r w:rsidRPr="002D141A">
        <w:rPr>
          <w:rFonts w:eastAsia="Times New Roman" w:cs="Times New Roman"/>
          <w:lang/>
        </w:rPr>
        <w:lastRenderedPageBreak/>
        <w:t xml:space="preserve">Prosser, W. L., W. P. Keeton, D. B. Dobbs, R. E. Keeton, and D. G. Owen, eds. 1984. Prosser and Keeton on torts. 5th ed. Eagan, MN: West Group. </w:t>
      </w:r>
    </w:p>
    <w:p w:rsidR="002D141A" w:rsidRPr="002D141A" w:rsidRDefault="002D141A" w:rsidP="002D141A">
      <w:pPr>
        <w:spacing w:before="100" w:beforeAutospacing="1" w:after="100" w:afterAutospacing="1"/>
        <w:rPr>
          <w:rFonts w:eastAsia="Times New Roman" w:cs="Times New Roman"/>
          <w:lang/>
        </w:rPr>
      </w:pPr>
      <w:r w:rsidRPr="002D141A">
        <w:rPr>
          <w:rFonts w:eastAsia="Times New Roman" w:cs="Times New Roman"/>
          <w:lang/>
        </w:rPr>
        <w:t xml:space="preserve">Roy, K. 2006. Proactive safety. </w:t>
      </w:r>
      <w:r w:rsidRPr="002D141A">
        <w:rPr>
          <w:rFonts w:eastAsia="Times New Roman" w:cs="Times New Roman"/>
          <w:i/>
          <w:iCs/>
          <w:lang/>
        </w:rPr>
        <w:t>Science Scope</w:t>
      </w:r>
      <w:r w:rsidRPr="002D141A">
        <w:rPr>
          <w:rFonts w:eastAsia="Times New Roman" w:cs="Times New Roman"/>
          <w:lang/>
        </w:rPr>
        <w:t xml:space="preserve"> 30 (1): 72, 74. </w:t>
      </w:r>
    </w:p>
    <w:p w:rsidR="002D141A" w:rsidRPr="002D141A" w:rsidRDefault="002D141A" w:rsidP="002D141A">
      <w:pPr>
        <w:spacing w:before="100" w:beforeAutospacing="1" w:after="100" w:afterAutospacing="1"/>
        <w:rPr>
          <w:rFonts w:eastAsia="Times New Roman" w:cs="Times New Roman"/>
          <w:lang/>
        </w:rPr>
      </w:pPr>
      <w:r w:rsidRPr="002D141A">
        <w:rPr>
          <w:rFonts w:eastAsia="Times New Roman" w:cs="Times New Roman"/>
          <w:lang/>
        </w:rPr>
        <w:t xml:space="preserve">Ryan, K. 2001. </w:t>
      </w:r>
      <w:r w:rsidRPr="002D141A">
        <w:rPr>
          <w:rFonts w:eastAsia="Times New Roman" w:cs="Times New Roman"/>
          <w:i/>
          <w:iCs/>
          <w:lang/>
        </w:rPr>
        <w:t>Science classroom safety and the law: A handbook for teachers</w:t>
      </w:r>
      <w:r w:rsidRPr="002D141A">
        <w:rPr>
          <w:rFonts w:eastAsia="Times New Roman" w:cs="Times New Roman"/>
          <w:lang/>
        </w:rPr>
        <w:t xml:space="preserve">. Batavia, IL: </w:t>
      </w:r>
      <w:proofErr w:type="spellStart"/>
      <w:r w:rsidRPr="002D141A">
        <w:rPr>
          <w:rFonts w:eastAsia="Times New Roman" w:cs="Times New Roman"/>
          <w:lang/>
        </w:rPr>
        <w:t>Flinn</w:t>
      </w:r>
      <w:proofErr w:type="spellEnd"/>
      <w:r w:rsidRPr="002D141A">
        <w:rPr>
          <w:rFonts w:eastAsia="Times New Roman" w:cs="Times New Roman"/>
          <w:lang/>
        </w:rPr>
        <w:t xml:space="preserve"> Scientific, Inc.</w:t>
      </w:r>
    </w:p>
    <w:p w:rsidR="002D141A" w:rsidRPr="002D141A" w:rsidRDefault="002D141A" w:rsidP="002D141A">
      <w:pPr>
        <w:spacing w:before="100" w:beforeAutospacing="1" w:after="100" w:afterAutospacing="1"/>
        <w:rPr>
          <w:rFonts w:eastAsia="Times New Roman" w:cs="Times New Roman"/>
          <w:lang/>
        </w:rPr>
      </w:pPr>
      <w:r w:rsidRPr="002D141A">
        <w:rPr>
          <w:rFonts w:eastAsia="Times New Roman" w:cs="Times New Roman"/>
          <w:lang/>
        </w:rPr>
        <w:t xml:space="preserve">West, S. S., J. F. </w:t>
      </w:r>
      <w:proofErr w:type="spellStart"/>
      <w:r w:rsidRPr="002D141A">
        <w:rPr>
          <w:rFonts w:eastAsia="Times New Roman" w:cs="Times New Roman"/>
          <w:lang/>
        </w:rPr>
        <w:t>Westerlund</w:t>
      </w:r>
      <w:proofErr w:type="spellEnd"/>
      <w:r w:rsidRPr="002D141A">
        <w:rPr>
          <w:rFonts w:eastAsia="Times New Roman" w:cs="Times New Roman"/>
          <w:lang/>
        </w:rPr>
        <w:t xml:space="preserve">, *A. L. Stephenson, and *N. Nelson. 2005. Conditions that affect secondary science safety: Results from 2001 Texas Survey, Overcrowding. </w:t>
      </w:r>
      <w:r w:rsidRPr="002D141A">
        <w:rPr>
          <w:rFonts w:eastAsia="Times New Roman" w:cs="Times New Roman"/>
          <w:i/>
          <w:iCs/>
          <w:lang/>
        </w:rPr>
        <w:t xml:space="preserve">The Texas Science Teacher </w:t>
      </w:r>
      <w:r w:rsidRPr="002D141A">
        <w:rPr>
          <w:rFonts w:eastAsia="Times New Roman" w:cs="Times New Roman"/>
          <w:lang/>
        </w:rPr>
        <w:t xml:space="preserve">34 (1). </w:t>
      </w:r>
    </w:p>
    <w:p w:rsidR="002D141A" w:rsidRPr="002D141A" w:rsidRDefault="002D141A" w:rsidP="002D141A">
      <w:pPr>
        <w:spacing w:before="100" w:beforeAutospacing="1" w:after="100" w:afterAutospacing="1"/>
        <w:outlineLvl w:val="2"/>
        <w:rPr>
          <w:rFonts w:eastAsia="Times New Roman" w:cs="Times New Roman"/>
          <w:b/>
          <w:bCs/>
          <w:sz w:val="27"/>
          <w:szCs w:val="27"/>
          <w:lang/>
        </w:rPr>
      </w:pPr>
      <w:r w:rsidRPr="002D141A">
        <w:rPr>
          <w:rFonts w:eastAsia="Times New Roman" w:cs="Times New Roman"/>
          <w:b/>
          <w:bCs/>
          <w:sz w:val="27"/>
          <w:szCs w:val="27"/>
          <w:lang/>
        </w:rPr>
        <w:t>Additional Resources</w:t>
      </w:r>
    </w:p>
    <w:p w:rsidR="002D141A" w:rsidRPr="002D141A" w:rsidRDefault="002D141A" w:rsidP="002D141A">
      <w:pPr>
        <w:spacing w:before="100" w:beforeAutospacing="1" w:after="100" w:afterAutospacing="1"/>
        <w:rPr>
          <w:rFonts w:eastAsia="Times New Roman" w:cs="Times New Roman"/>
          <w:lang/>
        </w:rPr>
      </w:pPr>
      <w:r w:rsidRPr="002D141A">
        <w:rPr>
          <w:rFonts w:eastAsia="Times New Roman" w:cs="Times New Roman"/>
          <w:lang/>
        </w:rPr>
        <w:t xml:space="preserve">Americans with Disabilities Act of 1990 ( ADA). See </w:t>
      </w:r>
      <w:hyperlink r:id="rId7" w:tgtFrame="_blank" w:history="1">
        <w:r w:rsidRPr="002D141A">
          <w:rPr>
            <w:rFonts w:eastAsia="Times New Roman" w:cs="Times New Roman"/>
            <w:color w:val="0000FF"/>
            <w:u w:val="single"/>
            <w:lang/>
          </w:rPr>
          <w:t>www.usdoj.gov/crt/ada/adahom1.htm</w:t>
        </w:r>
      </w:hyperlink>
      <w:r w:rsidRPr="002D141A">
        <w:rPr>
          <w:rFonts w:eastAsia="Times New Roman" w:cs="Times New Roman"/>
          <w:lang/>
        </w:rPr>
        <w:t xml:space="preserve"> and </w:t>
      </w:r>
      <w:hyperlink r:id="rId8" w:tgtFrame="_blank" w:history="1">
        <w:r w:rsidRPr="002D141A">
          <w:rPr>
            <w:rFonts w:eastAsia="Times New Roman" w:cs="Times New Roman"/>
            <w:color w:val="0000FF"/>
            <w:u w:val="single"/>
            <w:lang/>
          </w:rPr>
          <w:t>www.ada.gov/pubs/ada.htm</w:t>
        </w:r>
      </w:hyperlink>
      <w:r w:rsidRPr="002D141A">
        <w:rPr>
          <w:rFonts w:eastAsia="Times New Roman" w:cs="Times New Roman"/>
          <w:lang/>
        </w:rPr>
        <w:t>.</w:t>
      </w:r>
    </w:p>
    <w:p w:rsidR="002D141A" w:rsidRPr="002D141A" w:rsidRDefault="002D141A" w:rsidP="002D141A">
      <w:pPr>
        <w:spacing w:before="100" w:beforeAutospacing="1" w:after="100" w:afterAutospacing="1"/>
        <w:rPr>
          <w:rFonts w:eastAsia="Times New Roman" w:cs="Times New Roman"/>
          <w:lang/>
        </w:rPr>
      </w:pPr>
      <w:r w:rsidRPr="002D141A">
        <w:rPr>
          <w:rFonts w:eastAsia="Times New Roman" w:cs="Times New Roman"/>
          <w:lang/>
        </w:rPr>
        <w:t xml:space="preserve">Building Officials and Code Administrators (BOCA). See </w:t>
      </w:r>
      <w:hyperlink r:id="rId9" w:tgtFrame="_blank" w:history="1">
        <w:r w:rsidRPr="002D141A">
          <w:rPr>
            <w:rFonts w:eastAsia="Times New Roman" w:cs="Times New Roman"/>
            <w:color w:val="0000FF"/>
            <w:u w:val="single"/>
            <w:lang/>
          </w:rPr>
          <w:t>www.iccsafe.org/help/redirect-bocai.html</w:t>
        </w:r>
      </w:hyperlink>
      <w:r w:rsidRPr="002D141A">
        <w:rPr>
          <w:rFonts w:eastAsia="Times New Roman" w:cs="Times New Roman"/>
          <w:lang/>
        </w:rPr>
        <w:t>.</w:t>
      </w:r>
    </w:p>
    <w:p w:rsidR="002D141A" w:rsidRPr="002D141A" w:rsidRDefault="002D141A" w:rsidP="002D141A">
      <w:pPr>
        <w:spacing w:before="100" w:beforeAutospacing="1" w:after="100" w:afterAutospacing="1"/>
        <w:rPr>
          <w:rFonts w:eastAsia="Times New Roman" w:cs="Times New Roman"/>
          <w:lang/>
        </w:rPr>
      </w:pPr>
      <w:r w:rsidRPr="002D141A">
        <w:rPr>
          <w:rFonts w:eastAsia="Times New Roman" w:cs="Times New Roman"/>
          <w:lang/>
        </w:rPr>
        <w:t xml:space="preserve">Individuals with Disabilities Education Act (IDEA). See </w:t>
      </w:r>
      <w:hyperlink r:id="rId10" w:tgtFrame="_blank" w:history="1">
        <w:r w:rsidRPr="002D141A">
          <w:rPr>
            <w:rFonts w:eastAsia="Times New Roman" w:cs="Times New Roman"/>
            <w:color w:val="0000FF"/>
            <w:u w:val="single"/>
            <w:lang/>
          </w:rPr>
          <w:t>www.ed.gov/offices/OSERS/Policy/IDEA/index.html</w:t>
        </w:r>
      </w:hyperlink>
      <w:r w:rsidRPr="002D141A">
        <w:rPr>
          <w:rFonts w:eastAsia="Times New Roman" w:cs="Times New Roman"/>
          <w:lang/>
        </w:rPr>
        <w:t xml:space="preserve"> and </w:t>
      </w:r>
      <w:hyperlink r:id="rId11" w:tgtFrame="_blank" w:history="1">
        <w:r w:rsidRPr="002D141A">
          <w:rPr>
            <w:rFonts w:eastAsia="Times New Roman" w:cs="Times New Roman"/>
            <w:color w:val="0000FF"/>
            <w:u w:val="single"/>
            <w:lang/>
          </w:rPr>
          <w:t>www4.law.cornell.edu/uscode/20/1400.html</w:t>
        </w:r>
      </w:hyperlink>
      <w:r w:rsidRPr="002D141A">
        <w:rPr>
          <w:rFonts w:eastAsia="Times New Roman" w:cs="Times New Roman"/>
          <w:lang/>
        </w:rPr>
        <w:t>.</w:t>
      </w:r>
    </w:p>
    <w:p w:rsidR="002D141A" w:rsidRPr="002D141A" w:rsidRDefault="002D141A" w:rsidP="002D141A">
      <w:pPr>
        <w:spacing w:before="100" w:beforeAutospacing="1" w:after="100" w:afterAutospacing="1"/>
        <w:rPr>
          <w:rFonts w:eastAsia="Times New Roman" w:cs="Times New Roman"/>
          <w:lang/>
        </w:rPr>
      </w:pPr>
      <w:r w:rsidRPr="002D141A">
        <w:rPr>
          <w:rFonts w:eastAsia="Times New Roman" w:cs="Times New Roman"/>
          <w:lang/>
        </w:rPr>
        <w:t xml:space="preserve">International Code Council (ICC). See </w:t>
      </w:r>
      <w:hyperlink r:id="rId12" w:tgtFrame="_blank" w:history="1">
        <w:r w:rsidRPr="002D141A">
          <w:rPr>
            <w:rFonts w:eastAsia="Times New Roman" w:cs="Times New Roman"/>
            <w:color w:val="0000FF"/>
            <w:u w:val="single"/>
            <w:lang/>
          </w:rPr>
          <w:t>www.iccsafe.org</w:t>
        </w:r>
      </w:hyperlink>
      <w:r w:rsidRPr="002D141A">
        <w:rPr>
          <w:rFonts w:eastAsia="Times New Roman" w:cs="Times New Roman"/>
          <w:lang/>
        </w:rPr>
        <w:t>.</w:t>
      </w:r>
    </w:p>
    <w:p w:rsidR="002D141A" w:rsidRPr="002D141A" w:rsidRDefault="002D141A" w:rsidP="002D141A">
      <w:pPr>
        <w:spacing w:before="100" w:beforeAutospacing="1" w:after="100" w:afterAutospacing="1"/>
        <w:rPr>
          <w:rFonts w:eastAsia="Times New Roman" w:cs="Times New Roman"/>
          <w:lang/>
        </w:rPr>
      </w:pPr>
      <w:r w:rsidRPr="002D141A">
        <w:rPr>
          <w:rFonts w:eastAsia="Times New Roman" w:cs="Times New Roman"/>
          <w:lang/>
        </w:rPr>
        <w:t xml:space="preserve">National Fire Protection Association (NFPA). See </w:t>
      </w:r>
      <w:hyperlink r:id="rId13" w:tgtFrame="_blank" w:history="1">
        <w:r w:rsidRPr="002D141A">
          <w:rPr>
            <w:rFonts w:eastAsia="Times New Roman" w:cs="Times New Roman"/>
            <w:color w:val="0000FF"/>
            <w:u w:val="single"/>
            <w:lang/>
          </w:rPr>
          <w:t>www.nfpa.org</w:t>
        </w:r>
      </w:hyperlink>
      <w:r w:rsidRPr="002D141A">
        <w:rPr>
          <w:rFonts w:eastAsia="Times New Roman" w:cs="Times New Roman"/>
          <w:lang/>
        </w:rPr>
        <w:t>.</w:t>
      </w:r>
    </w:p>
    <w:p w:rsidR="002D141A" w:rsidRPr="002D141A" w:rsidRDefault="002D141A" w:rsidP="002D141A">
      <w:pPr>
        <w:spacing w:before="100" w:beforeAutospacing="1" w:after="100" w:afterAutospacing="1"/>
        <w:rPr>
          <w:rFonts w:eastAsia="Times New Roman" w:cs="Times New Roman"/>
          <w:lang/>
        </w:rPr>
      </w:pPr>
      <w:r w:rsidRPr="002D141A">
        <w:rPr>
          <w:rFonts w:eastAsia="Times New Roman" w:cs="Times New Roman"/>
          <w:lang/>
        </w:rPr>
        <w:t xml:space="preserve">Occupational Safety &amp; Health Administration (OSHA). U.S. Department of Labor. See </w:t>
      </w:r>
      <w:hyperlink r:id="rId14" w:tgtFrame="_blank" w:history="1">
        <w:r w:rsidRPr="002D141A">
          <w:rPr>
            <w:rFonts w:eastAsia="Times New Roman" w:cs="Times New Roman"/>
            <w:color w:val="0000FF"/>
            <w:u w:val="single"/>
            <w:lang/>
          </w:rPr>
          <w:t>www.osha.gov</w:t>
        </w:r>
      </w:hyperlink>
      <w:r w:rsidRPr="002D141A">
        <w:rPr>
          <w:rFonts w:eastAsia="Times New Roman" w:cs="Times New Roman"/>
          <w:lang/>
        </w:rPr>
        <w:t>.</w:t>
      </w:r>
    </w:p>
    <w:p w:rsidR="001511A3" w:rsidRPr="00AB5C4D" w:rsidRDefault="001511A3" w:rsidP="00AB5C4D">
      <w:pPr>
        <w:rPr>
          <w:rFonts w:cs="Times New Roman"/>
        </w:rPr>
      </w:pPr>
    </w:p>
    <w:sectPr w:rsidR="001511A3" w:rsidRPr="00AB5C4D" w:rsidSect="001511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3712"/>
    <w:multiLevelType w:val="multilevel"/>
    <w:tmpl w:val="BE62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42626"/>
    <w:multiLevelType w:val="multilevel"/>
    <w:tmpl w:val="63BC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34840"/>
    <w:multiLevelType w:val="multilevel"/>
    <w:tmpl w:val="E1A8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D141A"/>
    <w:rsid w:val="001511A3"/>
    <w:rsid w:val="00290AA8"/>
    <w:rsid w:val="002D141A"/>
    <w:rsid w:val="002F3146"/>
    <w:rsid w:val="00500BDF"/>
    <w:rsid w:val="00562BE2"/>
    <w:rsid w:val="00AB5C4D"/>
    <w:rsid w:val="00C24A1D"/>
    <w:rsid w:val="00C840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AA8"/>
    <w:pPr>
      <w:spacing w:after="0" w:line="240" w:lineRule="auto"/>
    </w:pPr>
    <w:rPr>
      <w:rFonts w:ascii="Times New Roman" w:hAnsi="Times New Roman"/>
      <w:sz w:val="24"/>
      <w:szCs w:val="24"/>
    </w:rPr>
  </w:style>
  <w:style w:type="paragraph" w:styleId="Heading2">
    <w:name w:val="heading 2"/>
    <w:basedOn w:val="Normal"/>
    <w:link w:val="Heading2Char"/>
    <w:uiPriority w:val="9"/>
    <w:qFormat/>
    <w:rsid w:val="002D141A"/>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2D141A"/>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141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D141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D141A"/>
    <w:rPr>
      <w:color w:val="0000FF"/>
      <w:u w:val="single"/>
    </w:rPr>
  </w:style>
  <w:style w:type="paragraph" w:styleId="NormalWeb">
    <w:name w:val="Normal (Web)"/>
    <w:basedOn w:val="Normal"/>
    <w:uiPriority w:val="99"/>
    <w:semiHidden/>
    <w:unhideWhenUsed/>
    <w:rsid w:val="002D141A"/>
    <w:pPr>
      <w:spacing w:before="100" w:beforeAutospacing="1" w:after="100" w:afterAutospacing="1"/>
    </w:pPr>
    <w:rPr>
      <w:rFonts w:eastAsia="Times New Roman" w:cs="Times New Roman"/>
    </w:rPr>
  </w:style>
  <w:style w:type="character" w:styleId="Emphasis">
    <w:name w:val="Emphasis"/>
    <w:basedOn w:val="DefaultParagraphFont"/>
    <w:uiPriority w:val="20"/>
    <w:qFormat/>
    <w:rsid w:val="002D141A"/>
    <w:rPr>
      <w:i/>
      <w:iCs/>
    </w:rPr>
  </w:style>
</w:styles>
</file>

<file path=word/webSettings.xml><?xml version="1.0" encoding="utf-8"?>
<w:webSettings xmlns:r="http://schemas.openxmlformats.org/officeDocument/2006/relationships" xmlns:w="http://schemas.openxmlformats.org/wordprocessingml/2006/main">
  <w:divs>
    <w:div w:id="2024093498">
      <w:bodyDiv w:val="1"/>
      <w:marLeft w:val="0"/>
      <w:marRight w:val="0"/>
      <w:marTop w:val="0"/>
      <w:marBottom w:val="0"/>
      <w:divBdr>
        <w:top w:val="none" w:sz="0" w:space="0" w:color="auto"/>
        <w:left w:val="none" w:sz="0" w:space="0" w:color="auto"/>
        <w:bottom w:val="none" w:sz="0" w:space="0" w:color="auto"/>
        <w:right w:val="none" w:sz="0" w:space="0" w:color="auto"/>
      </w:divBdr>
      <w:divsChild>
        <w:div w:id="1562476433">
          <w:marLeft w:val="0"/>
          <w:marRight w:val="0"/>
          <w:marTop w:val="0"/>
          <w:marBottom w:val="0"/>
          <w:divBdr>
            <w:top w:val="none" w:sz="0" w:space="0" w:color="auto"/>
            <w:left w:val="none" w:sz="0" w:space="0" w:color="auto"/>
            <w:bottom w:val="none" w:sz="0" w:space="0" w:color="auto"/>
            <w:right w:val="none" w:sz="0" w:space="0" w:color="auto"/>
          </w:divBdr>
          <w:divsChild>
            <w:div w:id="264387934">
              <w:marLeft w:val="0"/>
              <w:marRight w:val="0"/>
              <w:marTop w:val="0"/>
              <w:marBottom w:val="0"/>
              <w:divBdr>
                <w:top w:val="none" w:sz="0" w:space="0" w:color="auto"/>
                <w:left w:val="none" w:sz="0" w:space="0" w:color="auto"/>
                <w:bottom w:val="none" w:sz="0" w:space="0" w:color="auto"/>
                <w:right w:val="none" w:sz="0" w:space="0" w:color="auto"/>
              </w:divBdr>
              <w:divsChild>
                <w:div w:id="149950112">
                  <w:marLeft w:val="0"/>
                  <w:marRight w:val="0"/>
                  <w:marTop w:val="0"/>
                  <w:marBottom w:val="0"/>
                  <w:divBdr>
                    <w:top w:val="none" w:sz="0" w:space="0" w:color="auto"/>
                    <w:left w:val="none" w:sz="0" w:space="0" w:color="auto"/>
                    <w:bottom w:val="none" w:sz="0" w:space="0" w:color="auto"/>
                    <w:right w:val="none" w:sz="0" w:space="0" w:color="auto"/>
                  </w:divBdr>
                  <w:divsChild>
                    <w:div w:id="1197545647">
                      <w:marLeft w:val="0"/>
                      <w:marRight w:val="0"/>
                      <w:marTop w:val="0"/>
                      <w:marBottom w:val="0"/>
                      <w:divBdr>
                        <w:top w:val="none" w:sz="0" w:space="0" w:color="auto"/>
                        <w:left w:val="none" w:sz="0" w:space="0" w:color="auto"/>
                        <w:bottom w:val="none" w:sz="0" w:space="0" w:color="auto"/>
                        <w:right w:val="none" w:sz="0" w:space="0" w:color="auto"/>
                      </w:divBdr>
                      <w:divsChild>
                        <w:div w:id="21293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a.gov/pubs/ada.htm" TargetMode="External"/><Relationship Id="rId13" Type="http://schemas.openxmlformats.org/officeDocument/2006/relationships/hyperlink" Target="http://www.nfpa.org" TargetMode="External"/><Relationship Id="rId3" Type="http://schemas.openxmlformats.org/officeDocument/2006/relationships/settings" Target="settings.xml"/><Relationship Id="rId7" Type="http://schemas.openxmlformats.org/officeDocument/2006/relationships/hyperlink" Target="http://www.usdoj.gov/crt/ada/adahom1.htm" TargetMode="External"/><Relationship Id="rId12" Type="http://schemas.openxmlformats.org/officeDocument/2006/relationships/hyperlink" Target="http://www.iccsaf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mazon.com/exec/obidos/search-handle-url/002-7047039-7268022?%5Fencoding=UTF8&amp;search-type=ss&amp;index=books&amp;field-author=Lorelie%20S.%20Masters" TargetMode="External"/><Relationship Id="rId11" Type="http://schemas.openxmlformats.org/officeDocument/2006/relationships/hyperlink" Target="http://www4.law.cornell.edu/uscode/20/1400.html" TargetMode="External"/><Relationship Id="rId5" Type="http://schemas.openxmlformats.org/officeDocument/2006/relationships/hyperlink" Target="http://www.amazon.com/exec/obidos/search-handle-url/002-7047039-7268022?%5Fencoding=UTF8&amp;search-type=ss&amp;index=books&amp;field-author=Jordan%20S.%20Stanzler" TargetMode="External"/><Relationship Id="rId15" Type="http://schemas.openxmlformats.org/officeDocument/2006/relationships/fontTable" Target="fontTable.xml"/><Relationship Id="rId10" Type="http://schemas.openxmlformats.org/officeDocument/2006/relationships/hyperlink" Target="http://www.ed.gov/offices/OSERS/Policy/IDEA/index.html" TargetMode="External"/><Relationship Id="rId4" Type="http://schemas.openxmlformats.org/officeDocument/2006/relationships/webSettings" Target="webSettings.xml"/><Relationship Id="rId9" Type="http://schemas.openxmlformats.org/officeDocument/2006/relationships/hyperlink" Target="http://www.iccsafe.org/help/redirect-bocai.html" TargetMode="External"/><Relationship Id="rId14" Type="http://schemas.openxmlformats.org/officeDocument/2006/relationships/hyperlink" Target="http://www.osh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2013</Words>
  <Characters>11479</Characters>
  <Application>Microsoft Office Word</Application>
  <DocSecurity>0</DocSecurity>
  <Lines>95</Lines>
  <Paragraphs>26</Paragraphs>
  <ScaleCrop>false</ScaleCrop>
  <Company>Sam Houston State University</Company>
  <LinksUpToDate>false</LinksUpToDate>
  <CharactersWithSpaces>13466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agr_dru</dc:creator>
  <cp:keywords/>
  <dc:description/>
  <cp:lastModifiedBy>agr_dru</cp:lastModifiedBy>
  <cp:revision>1</cp:revision>
  <dcterms:created xsi:type="dcterms:W3CDTF">2011-02-11T15:35:00Z</dcterms:created>
  <dcterms:modified xsi:type="dcterms:W3CDTF">2011-02-11T15:39:00Z</dcterms:modified>
</cp:coreProperties>
</file>